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A83C5E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2C3E61" w:rsidRDefault="0094778A" w:rsidP="002C3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  <w:r w:rsidR="00A83C5E"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1EBB"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проекта муниципального </w:t>
      </w:r>
      <w:r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</w:t>
      </w:r>
      <w:r w:rsidR="00DA723A"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  <w:r w:rsidR="00A83C5E"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3E61" w:rsidRPr="002C3E61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Каргасокского района 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</w:r>
      <w:bookmarkStart w:id="0" w:name="_GoBack"/>
      <w:bookmarkEnd w:id="0"/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C3E61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hyperlink r:id="rId7" w:history="1"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</w:rPr>
          <w:t>karg</w:t>
        </w:r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eco</w:t>
        </w:r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</w:rPr>
          <w:t>@tomsk.gov.ru</w:t>
        </w:r>
      </w:hyperlink>
      <w:r w:rsidR="001B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2C3E61" w:rsidRPr="002C3E61">
        <w:rPr>
          <w:rFonts w:ascii="Times New Roman" w:hAnsi="Times New Roman" w:cs="Times New Roman"/>
          <w:sz w:val="24"/>
          <w:szCs w:val="24"/>
        </w:rPr>
        <w:t>20 апреля</w:t>
      </w:r>
      <w:r w:rsidR="004B184D" w:rsidRPr="002C3E61">
        <w:rPr>
          <w:rFonts w:ascii="Times New Roman" w:hAnsi="Times New Roman" w:cs="Times New Roman"/>
          <w:sz w:val="24"/>
          <w:szCs w:val="24"/>
        </w:rPr>
        <w:t xml:space="preserve"> 2022</w:t>
      </w:r>
      <w:r w:rsidRPr="002C3E6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3E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Разработчики не будут иметь возможность проанализировать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информационных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20" w:rsidRDefault="00425F20" w:rsidP="0094778A">
      <w:pPr>
        <w:spacing w:after="0" w:line="240" w:lineRule="auto"/>
      </w:pPr>
      <w:r>
        <w:separator/>
      </w:r>
    </w:p>
  </w:endnote>
  <w:endnote w:type="continuationSeparator" w:id="0">
    <w:p w:rsidR="00425F20" w:rsidRDefault="00425F20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20" w:rsidRDefault="00425F20" w:rsidP="0094778A">
      <w:pPr>
        <w:spacing w:after="0" w:line="240" w:lineRule="auto"/>
      </w:pPr>
      <w:r>
        <w:separator/>
      </w:r>
    </w:p>
  </w:footnote>
  <w:footnote w:type="continuationSeparator" w:id="0">
    <w:p w:rsidR="00425F20" w:rsidRDefault="00425F20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341EC"/>
    <w:rsid w:val="000A164E"/>
    <w:rsid w:val="000B431A"/>
    <w:rsid w:val="000F153A"/>
    <w:rsid w:val="001B1EBB"/>
    <w:rsid w:val="001E3537"/>
    <w:rsid w:val="0022008E"/>
    <w:rsid w:val="002C3E61"/>
    <w:rsid w:val="002E375A"/>
    <w:rsid w:val="003A02E0"/>
    <w:rsid w:val="003E5A6B"/>
    <w:rsid w:val="00425F20"/>
    <w:rsid w:val="004656F6"/>
    <w:rsid w:val="004B184D"/>
    <w:rsid w:val="0053391C"/>
    <w:rsid w:val="005844B7"/>
    <w:rsid w:val="0075704C"/>
    <w:rsid w:val="007600BF"/>
    <w:rsid w:val="007611DB"/>
    <w:rsid w:val="007703AE"/>
    <w:rsid w:val="0094778A"/>
    <w:rsid w:val="009B77E7"/>
    <w:rsid w:val="00A83C5E"/>
    <w:rsid w:val="00B502E5"/>
    <w:rsid w:val="00BC0F27"/>
    <w:rsid w:val="00BD2FF2"/>
    <w:rsid w:val="00C5548D"/>
    <w:rsid w:val="00CA5F68"/>
    <w:rsid w:val="00D5512F"/>
    <w:rsid w:val="00DA723A"/>
    <w:rsid w:val="00E12A05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292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1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17</cp:revision>
  <cp:lastPrinted>2021-06-09T08:31:00Z</cp:lastPrinted>
  <dcterms:created xsi:type="dcterms:W3CDTF">2017-08-16T07:07:00Z</dcterms:created>
  <dcterms:modified xsi:type="dcterms:W3CDTF">2022-03-22T05:28:00Z</dcterms:modified>
</cp:coreProperties>
</file>