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8" w:rsidRDefault="00500D88" w:rsidP="00500D88">
      <w:pPr>
        <w:ind w:firstLine="567"/>
        <w:jc w:val="center"/>
      </w:pPr>
      <w:r>
        <w:t>Орган муниципального финансового контроля</w:t>
      </w:r>
    </w:p>
    <w:p w:rsidR="00500D88" w:rsidRDefault="00500D88" w:rsidP="00500D88">
      <w:pPr>
        <w:ind w:firstLine="567"/>
        <w:jc w:val="center"/>
      </w:pPr>
      <w:r>
        <w:t>Каргасокского района</w:t>
      </w:r>
    </w:p>
    <w:p w:rsidR="00500D88" w:rsidRDefault="00500D88" w:rsidP="00500D88">
      <w:pPr>
        <w:ind w:firstLine="567"/>
        <w:jc w:val="both"/>
      </w:pPr>
    </w:p>
    <w:p w:rsidR="00500D88" w:rsidRDefault="00500D88" w:rsidP="00500D88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FC3553">
        <w:t>15</w:t>
      </w:r>
      <w:r w:rsidRPr="00FC3553">
        <w:t>.</w:t>
      </w:r>
      <w:r w:rsidR="00FC3553">
        <w:t>06</w:t>
      </w:r>
      <w:r>
        <w:t>.2022</w:t>
      </w:r>
    </w:p>
    <w:p w:rsidR="00500D88" w:rsidRDefault="00500D88" w:rsidP="00500D8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00D88" w:rsidTr="001665C4">
        <w:tc>
          <w:tcPr>
            <w:tcW w:w="6363" w:type="dxa"/>
            <w:hideMark/>
          </w:tcPr>
          <w:p w:rsidR="00500D88" w:rsidRDefault="00500D88" w:rsidP="000815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об экспертно-аналитических мероприятиях № </w:t>
            </w:r>
            <w:r w:rsidR="0008157B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500D88" w:rsidRDefault="00500D88" w:rsidP="001665C4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500D88" w:rsidRDefault="00500D88" w:rsidP="00500D88">
      <w:pPr>
        <w:ind w:firstLine="567"/>
        <w:jc w:val="both"/>
      </w:pPr>
    </w:p>
    <w:p w:rsidR="005F79EF" w:rsidRDefault="0084159E" w:rsidP="00500D88">
      <w:pPr>
        <w:ind w:firstLine="567"/>
        <w:jc w:val="both"/>
      </w:pPr>
      <w:proofErr w:type="gramStart"/>
      <w:r w:rsidRPr="00F51C08">
        <w:rPr>
          <w:b/>
        </w:rPr>
        <w:t>Внеплановое</w:t>
      </w:r>
      <w:r>
        <w:t xml:space="preserve"> экспертно-аналитическое мероприятие проведено на основании </w:t>
      </w:r>
      <w:r w:rsidR="005F79EF">
        <w:t xml:space="preserve">распоряжения председателя Контрольного органа Каргасокского района </w:t>
      </w:r>
      <w:r w:rsidR="005F79EF" w:rsidRPr="000F5B7A">
        <w:t xml:space="preserve">от </w:t>
      </w:r>
      <w:r w:rsidR="005F79EF">
        <w:t>02</w:t>
      </w:r>
      <w:r w:rsidR="005F79EF" w:rsidRPr="0002335F">
        <w:t>.</w:t>
      </w:r>
      <w:r w:rsidR="005F79EF">
        <w:t>06</w:t>
      </w:r>
      <w:r w:rsidR="005F79EF" w:rsidRPr="0002335F">
        <w:t>.20</w:t>
      </w:r>
      <w:r w:rsidR="005F79EF">
        <w:t>22</w:t>
      </w:r>
      <w:r w:rsidR="005F79EF" w:rsidRPr="000F5B7A">
        <w:t xml:space="preserve"> № </w:t>
      </w:r>
      <w:r w:rsidR="005F79EF">
        <w:t xml:space="preserve">48 в связи с тяжёлым финансовым положением </w:t>
      </w:r>
      <w:r w:rsidR="005F79EF" w:rsidRPr="0068525D">
        <w:t>М</w:t>
      </w:r>
      <w:r w:rsidR="005F79EF">
        <w:t>униципального унитарного предприятия</w:t>
      </w:r>
      <w:r w:rsidR="005F79EF" w:rsidRPr="005E3BBF">
        <w:t xml:space="preserve"> «</w:t>
      </w:r>
      <w:r w:rsidR="005F79EF">
        <w:t>Теплоэнергоснаб</w:t>
      </w:r>
      <w:r w:rsidR="005F79EF" w:rsidRPr="005E3BBF">
        <w:t>»</w:t>
      </w:r>
      <w:r w:rsidR="005F79EF">
        <w:t xml:space="preserve"> муниципального образования «Новоюгинское сельское поселение» (далее также – </w:t>
      </w:r>
      <w:r w:rsidR="005F79EF" w:rsidRPr="00154AC0">
        <w:rPr>
          <w:b/>
        </w:rPr>
        <w:t>МУП «Теплоэнергоснаб»</w:t>
      </w:r>
      <w:r w:rsidR="005F79EF">
        <w:t>, МУП «ТепЭс», Предприятие) и направленным директором МУПа «ТепЭс» Главе Администрации Новоюгинского сельского поселения Ходатайства</w:t>
      </w:r>
      <w:r w:rsidR="005F79EF" w:rsidRPr="000A2AA1">
        <w:t xml:space="preserve"> </w:t>
      </w:r>
      <w:r w:rsidR="005F79EF">
        <w:t>от 02.06.2022  № 311 об оказании финансовой помощи.</w:t>
      </w:r>
      <w:proofErr w:type="gramEnd"/>
    </w:p>
    <w:p w:rsidR="005F79EF" w:rsidRPr="00503AF5" w:rsidRDefault="00503AF5" w:rsidP="00500D88">
      <w:pPr>
        <w:ind w:firstLine="567"/>
        <w:jc w:val="both"/>
      </w:pPr>
      <w:r>
        <w:t xml:space="preserve">Мероприятие проведено </w:t>
      </w:r>
      <w:r w:rsidRPr="00503AF5">
        <w:rPr>
          <w:b/>
        </w:rPr>
        <w:t>со 2 по 16 июня 2022 года</w:t>
      </w:r>
      <w:r>
        <w:t>.</w:t>
      </w:r>
    </w:p>
    <w:p w:rsidR="00503AF5" w:rsidRDefault="00503AF5" w:rsidP="00503AF5">
      <w:pPr>
        <w:ind w:firstLine="567"/>
        <w:jc w:val="both"/>
      </w:pPr>
      <w:r>
        <w:t xml:space="preserve">Анализируемым периодом являлся </w:t>
      </w:r>
      <w:r w:rsidRPr="00275947">
        <w:rPr>
          <w:b/>
        </w:rPr>
        <w:t>202</w:t>
      </w:r>
      <w:r>
        <w:rPr>
          <w:b/>
        </w:rPr>
        <w:t>1</w:t>
      </w:r>
      <w:r w:rsidR="00C43D6F">
        <w:rPr>
          <w:b/>
        </w:rPr>
        <w:t xml:space="preserve"> и 2022</w:t>
      </w:r>
      <w:r w:rsidRPr="00275947">
        <w:rPr>
          <w:b/>
        </w:rPr>
        <w:t xml:space="preserve"> год</w:t>
      </w:r>
      <w:r w:rsidR="00C43D6F">
        <w:rPr>
          <w:b/>
        </w:rPr>
        <w:t>ы</w:t>
      </w:r>
      <w:r>
        <w:t>.</w:t>
      </w:r>
    </w:p>
    <w:p w:rsidR="00503AF5" w:rsidRDefault="001837A3" w:rsidP="00503AF5">
      <w:pPr>
        <w:ind w:firstLine="567"/>
        <w:jc w:val="both"/>
      </w:pPr>
      <w:r>
        <w:t>М</w:t>
      </w:r>
      <w:r w:rsidR="00503AF5">
        <w:t xml:space="preserve">ероприятие оформлено </w:t>
      </w:r>
      <w:r>
        <w:t>Анализом</w:t>
      </w:r>
      <w:r w:rsidR="00503AF5">
        <w:t xml:space="preserve"> </w:t>
      </w:r>
      <w:r w:rsidR="00503AF5" w:rsidRPr="00943A3E">
        <w:rPr>
          <w:b/>
        </w:rPr>
        <w:t xml:space="preserve">от </w:t>
      </w:r>
      <w:r w:rsidR="00503AF5">
        <w:rPr>
          <w:b/>
        </w:rPr>
        <w:t>1</w:t>
      </w:r>
      <w:r>
        <w:rPr>
          <w:b/>
        </w:rPr>
        <w:t>0</w:t>
      </w:r>
      <w:r w:rsidR="00503AF5" w:rsidRPr="006F4795">
        <w:rPr>
          <w:b/>
        </w:rPr>
        <w:t>.0</w:t>
      </w:r>
      <w:r>
        <w:rPr>
          <w:b/>
        </w:rPr>
        <w:t>6</w:t>
      </w:r>
      <w:r w:rsidR="00503AF5" w:rsidRPr="006F4795">
        <w:rPr>
          <w:b/>
        </w:rPr>
        <w:t>.202</w:t>
      </w:r>
      <w:r w:rsidR="00503AF5">
        <w:rPr>
          <w:b/>
        </w:rPr>
        <w:t>2</w:t>
      </w:r>
      <w:r w:rsidR="00503AF5" w:rsidRPr="00943A3E">
        <w:rPr>
          <w:b/>
        </w:rPr>
        <w:t xml:space="preserve"> № </w:t>
      </w:r>
      <w:r w:rsidR="00503AF5">
        <w:rPr>
          <w:b/>
        </w:rPr>
        <w:t>1</w:t>
      </w:r>
    </w:p>
    <w:p w:rsidR="00500D88" w:rsidRDefault="00500D88" w:rsidP="00500D88">
      <w:pPr>
        <w:ind w:firstLine="567"/>
        <w:jc w:val="both"/>
      </w:pPr>
    </w:p>
    <w:p w:rsidR="00500D88" w:rsidRDefault="00500D88" w:rsidP="00500D88">
      <w:pPr>
        <w:ind w:firstLine="567"/>
        <w:jc w:val="both"/>
      </w:pPr>
      <w:r>
        <w:t>Результаты мероприятия:</w:t>
      </w:r>
    </w:p>
    <w:p w:rsidR="0021796D" w:rsidRDefault="0021796D" w:rsidP="00500D88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9E2B23">
        <w:rPr>
          <w:b/>
        </w:rPr>
        <w:t>П</w:t>
      </w:r>
      <w:r>
        <w:t xml:space="preserve">редыдущий анализ финансово хозяйственной деятельности в 2020 и 2021 годах </w:t>
      </w:r>
      <w:r w:rsidRPr="0068525D">
        <w:t>М</w:t>
      </w:r>
      <w:r>
        <w:t>униципального унитарного предприятия</w:t>
      </w:r>
      <w:r w:rsidRPr="005E3BBF">
        <w:t xml:space="preserve"> «</w:t>
      </w:r>
      <w:r>
        <w:t>Теплоэнергоснаб</w:t>
      </w:r>
      <w:r w:rsidRPr="005E3BBF">
        <w:t>»</w:t>
      </w:r>
      <w:r>
        <w:t xml:space="preserve"> муниципального образования «Новоюгинское сельское поселение», оформленный Контрольным органом Каргасокского района в виде Аналитической записки от 30.09.2021 № 4 (в редакции от 30.11.2021) и дополнительной информации к Аналитической  записке от 17 декабря 2021 года, показали следующее:</w:t>
      </w:r>
    </w:p>
    <w:p w:rsidR="0021796D" w:rsidRDefault="0021796D" w:rsidP="0021796D">
      <w:pPr>
        <w:ind w:firstLine="567"/>
        <w:jc w:val="both"/>
      </w:pPr>
    </w:p>
    <w:p w:rsidR="0021796D" w:rsidRPr="006A648F" w:rsidRDefault="0021796D" w:rsidP="0021796D">
      <w:pPr>
        <w:ind w:firstLine="567"/>
        <w:jc w:val="both"/>
      </w:pPr>
      <w:r w:rsidRPr="00913B1C">
        <w:rPr>
          <w:b/>
        </w:rPr>
        <w:t>1</w:t>
      </w:r>
      <w:r>
        <w:t xml:space="preserve">. Предприятие находилось в тяжёлом финансовом положении. Убыток от деятельности Предприятия в 2020 году составил </w:t>
      </w:r>
      <w:r w:rsidRPr="006A648F">
        <w:t>1 019</w:t>
      </w:r>
      <w:r>
        <w:t> </w:t>
      </w:r>
      <w:r w:rsidRPr="006A648F">
        <w:t>142</w:t>
      </w:r>
      <w:r>
        <w:t xml:space="preserve"> руб., за 9 месяцев 2021 года - </w:t>
      </w:r>
      <w:r w:rsidRPr="00FB6E61">
        <w:t>3 933</w:t>
      </w:r>
      <w:r>
        <w:t> </w:t>
      </w:r>
      <w:r w:rsidRPr="00FB6E61">
        <w:t>6</w:t>
      </w:r>
      <w:r>
        <w:t xml:space="preserve">80 рублей. </w:t>
      </w:r>
    </w:p>
    <w:p w:rsidR="0021796D" w:rsidRPr="00202373" w:rsidRDefault="0021796D" w:rsidP="0021796D">
      <w:pPr>
        <w:ind w:firstLine="567"/>
        <w:jc w:val="both"/>
      </w:pPr>
    </w:p>
    <w:p w:rsidR="0021796D" w:rsidRPr="00202373" w:rsidRDefault="0021796D" w:rsidP="0021796D">
      <w:pPr>
        <w:ind w:firstLine="567"/>
        <w:jc w:val="both"/>
      </w:pPr>
      <w:r w:rsidRPr="00913B1C">
        <w:rPr>
          <w:b/>
        </w:rPr>
        <w:t>2</w:t>
      </w:r>
      <w:r w:rsidRPr="00202373">
        <w:t>. Кредиторская задолженность на 1 декабря 2021 года составля</w:t>
      </w:r>
      <w:r>
        <w:t>ла</w:t>
      </w:r>
      <w:r w:rsidRPr="00202373">
        <w:t xml:space="preserve">  9 581 955 руб., в т.ч:</w:t>
      </w:r>
    </w:p>
    <w:p w:rsidR="0021796D" w:rsidRPr="00202373" w:rsidRDefault="0021796D" w:rsidP="0021796D">
      <w:pPr>
        <w:ind w:firstLine="567"/>
        <w:jc w:val="both"/>
      </w:pPr>
      <w:r w:rsidRPr="00202373">
        <w:t>Расчёты с поставщиками (счёт 60)         7 519 565 руб.;</w:t>
      </w:r>
    </w:p>
    <w:p w:rsidR="0021796D" w:rsidRPr="00202373" w:rsidRDefault="0021796D" w:rsidP="0021796D">
      <w:pPr>
        <w:ind w:firstLine="567"/>
        <w:jc w:val="both"/>
      </w:pPr>
      <w:r w:rsidRPr="00202373">
        <w:t>Расчёты по налогам и сборам (счёт 68)    349 464 руб.;</w:t>
      </w:r>
    </w:p>
    <w:p w:rsidR="0021796D" w:rsidRPr="00202373" w:rsidRDefault="0021796D" w:rsidP="0021796D">
      <w:pPr>
        <w:ind w:firstLine="567"/>
        <w:jc w:val="both"/>
      </w:pPr>
      <w:r w:rsidRPr="00202373">
        <w:t>Расчёты по страховым взносам (счёт 69) 788 738 руб.;</w:t>
      </w:r>
    </w:p>
    <w:p w:rsidR="0021796D" w:rsidRPr="00202373" w:rsidRDefault="0021796D" w:rsidP="0021796D">
      <w:pPr>
        <w:ind w:firstLine="567"/>
        <w:jc w:val="both"/>
      </w:pPr>
      <w:r w:rsidRPr="00202373">
        <w:t>Расчёты с подотчётными лицами  (счёт 71)  448 130 руб.;</w:t>
      </w:r>
    </w:p>
    <w:p w:rsidR="0021796D" w:rsidRPr="00202373" w:rsidRDefault="0021796D" w:rsidP="0021796D">
      <w:pPr>
        <w:ind w:firstLine="567"/>
        <w:jc w:val="both"/>
      </w:pPr>
      <w:r w:rsidRPr="00202373">
        <w:t>Расчёты с прочими кредиторами (счёт 76)   476 058 руб.</w:t>
      </w:r>
    </w:p>
    <w:p w:rsidR="0021796D" w:rsidRPr="00953FBD" w:rsidRDefault="0021796D" w:rsidP="0021796D">
      <w:pPr>
        <w:ind w:firstLine="567"/>
        <w:jc w:val="both"/>
      </w:pPr>
    </w:p>
    <w:p w:rsidR="0021796D" w:rsidRPr="00953FBD" w:rsidRDefault="0021796D" w:rsidP="0021796D">
      <w:pPr>
        <w:ind w:firstLine="567"/>
        <w:jc w:val="both"/>
      </w:pPr>
      <w:proofErr w:type="gramStart"/>
      <w:r w:rsidRPr="00953FBD">
        <w:t xml:space="preserve">На начало 2021 года кредиторская задолженность составляла </w:t>
      </w:r>
      <w:r w:rsidRPr="00913B1C">
        <w:rPr>
          <w:b/>
        </w:rPr>
        <w:t>4 675 929</w:t>
      </w:r>
      <w:r w:rsidRPr="00953FBD">
        <w:t xml:space="preserve"> руб., в течение одиннадцати  месяцев 2021 года она увеличилась на </w:t>
      </w:r>
      <w:r w:rsidRPr="00913B1C">
        <w:rPr>
          <w:b/>
        </w:rPr>
        <w:t>4 906 026</w:t>
      </w:r>
      <w:r w:rsidRPr="00953FBD">
        <w:t xml:space="preserve"> руб. Увеличение задолженности произошло за счет убытков от финансовой деятельности, а также за счёт приобретения угля на сумму 5 314 233,50 руб. и дизтоплива на сумму 1 136 705 руб. Остатки по субсчёту 10-03 «Топливо» на 01.12.2021</w:t>
      </w:r>
      <w:proofErr w:type="gramEnd"/>
      <w:r w:rsidRPr="00953FBD">
        <w:t xml:space="preserve"> составляют 4 650 786 руб., в том числе дизтопливо 525 011 руб., уголь 3 794 806 руб., дрова 304 870 руб.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0A09FF">
        <w:rPr>
          <w:b/>
        </w:rPr>
        <w:t>3</w:t>
      </w:r>
      <w:r>
        <w:t xml:space="preserve">. </w:t>
      </w:r>
      <w:r w:rsidRPr="007A0584">
        <w:t>Анализ исполнения полномочий Администрацией Новоюгинского сельского поселения  в отношении созданного им МУПа «Теплоэнергоснаб»</w:t>
      </w:r>
      <w:r>
        <w:t xml:space="preserve"> показал следующее:</w:t>
      </w:r>
    </w:p>
    <w:p w:rsidR="0021796D" w:rsidRDefault="0021796D" w:rsidP="0021796D">
      <w:pPr>
        <w:ind w:firstLine="539"/>
        <w:jc w:val="both"/>
      </w:pPr>
      <w:r>
        <w:t xml:space="preserve">- в 2020 и 2021 годах Администрацией Новоюгинского сельского поселения не проводились мероприятия в рамках </w:t>
      </w:r>
      <w:proofErr w:type="gramStart"/>
      <w:r>
        <w:t>контроля за</w:t>
      </w:r>
      <w:proofErr w:type="gramEnd"/>
      <w:r>
        <w:t xml:space="preserve"> деятельностью МУПа «Теплоэнергоснаб»;</w:t>
      </w:r>
    </w:p>
    <w:p w:rsidR="0021796D" w:rsidRDefault="0021796D" w:rsidP="0021796D">
      <w:pPr>
        <w:ind w:firstLine="539"/>
        <w:jc w:val="both"/>
      </w:pPr>
      <w:r>
        <w:lastRenderedPageBreak/>
        <w:t>- в 2020 и 2021 годах на собраниях Совета Новоюгинского сельского поселения не обсуждались итоги работы Предприятия в 2019 и 2020 годах;</w:t>
      </w:r>
    </w:p>
    <w:p w:rsidR="0021796D" w:rsidRDefault="0021796D" w:rsidP="0021796D">
      <w:pPr>
        <w:ind w:firstLine="539"/>
        <w:jc w:val="both"/>
      </w:pPr>
      <w:r>
        <w:t>- в 2020 году не проводилось совещание по обсуждению плана финансово-хозяйственной деятельности Предприятия на 2021 год с утверждением его основных показателей. Не обсуждались мероприятия по выводу Предприятия из финансового кризиса;</w:t>
      </w:r>
    </w:p>
    <w:p w:rsidR="0021796D" w:rsidRDefault="0021796D" w:rsidP="0021796D">
      <w:pPr>
        <w:ind w:firstLine="539"/>
        <w:jc w:val="both"/>
      </w:pPr>
      <w:r>
        <w:t xml:space="preserve">- отсутствовали </w:t>
      </w:r>
      <w:r w:rsidRPr="000208EF">
        <w:t>нормативные документы устанавливающие порядок и сроки предоставления и утверждения (согласования) годовой и текущей отчётности, плана финансово-хозяйственной деятельности, квартальных и годового анализов деятельности Предприятия, Положения по оплате труда</w:t>
      </w:r>
      <w:r>
        <w:t>;</w:t>
      </w:r>
    </w:p>
    <w:p w:rsidR="0021796D" w:rsidRDefault="0021796D" w:rsidP="0021796D">
      <w:pPr>
        <w:ind w:firstLine="539"/>
        <w:jc w:val="both"/>
      </w:pPr>
      <w:r>
        <w:t xml:space="preserve">- </w:t>
      </w:r>
      <w:r w:rsidRPr="00D22C02">
        <w:t>совещания по поводу отказа от ежемесячного премирования работник</w:t>
      </w:r>
      <w:r>
        <w:t xml:space="preserve">ам </w:t>
      </w:r>
      <w:proofErr w:type="spellStart"/>
      <w:r>
        <w:t>АУПа</w:t>
      </w:r>
      <w:proofErr w:type="spellEnd"/>
      <w:r>
        <w:t xml:space="preserve"> и директору</w:t>
      </w:r>
      <w:r w:rsidRPr="00D22C02">
        <w:t xml:space="preserve"> МУПа «Теплоэнергоснаб» не проводилось.</w:t>
      </w:r>
    </w:p>
    <w:p w:rsidR="0021796D" w:rsidRDefault="0021796D" w:rsidP="0021796D">
      <w:pPr>
        <w:ind w:firstLine="567"/>
        <w:jc w:val="both"/>
      </w:pPr>
      <w:r>
        <w:t xml:space="preserve">Было предложено из бюджета муниципального образования «Новоюгинское сельское поселение оказать финансовую помощь МУПу «Теплоэнергоснаб» в размере </w:t>
      </w:r>
      <w:r w:rsidRPr="000A09FF">
        <w:rPr>
          <w:b/>
        </w:rPr>
        <w:t>3 486,1</w:t>
      </w:r>
      <w:r>
        <w:t xml:space="preserve"> тыс. рублей. </w:t>
      </w:r>
    </w:p>
    <w:p w:rsidR="0021796D" w:rsidRPr="00D17E80" w:rsidRDefault="0021796D" w:rsidP="0021796D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кредиторскую задолженность в размере </w:t>
      </w:r>
      <w:r w:rsidRPr="000A09FF">
        <w:rPr>
          <w:rFonts w:ascii="Times New Roman" w:hAnsi="Times New Roman" w:cs="Times New Roman"/>
          <w:b/>
          <w:sz w:val="24"/>
          <w:szCs w:val="24"/>
        </w:rPr>
        <w:t>5 303,0</w:t>
      </w:r>
      <w:r>
        <w:rPr>
          <w:rFonts w:ascii="Times New Roman" w:hAnsi="Times New Roman" w:cs="Times New Roman"/>
          <w:sz w:val="24"/>
          <w:szCs w:val="24"/>
        </w:rPr>
        <w:t xml:space="preserve"> тыс. руб. Предприятию погасить за счёт собственных ресурсов, увеличения доходов от оказанных услуг и оптимизации расходов.</w:t>
      </w:r>
    </w:p>
    <w:p w:rsidR="0021796D" w:rsidRDefault="0021796D" w:rsidP="0021796D">
      <w:pPr>
        <w:ind w:firstLine="567"/>
        <w:jc w:val="both"/>
      </w:pPr>
      <w:r>
        <w:t>По причине дефицита бюджета в 2021 году в муниципальном образовании «Каргасокский район», вопрос об оказании финансовой помощи не был рассмотрен на декабрьском собрании депутатов Думы Каргасокского района.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9E2B23">
        <w:rPr>
          <w:b/>
        </w:rPr>
        <w:t>В</w:t>
      </w:r>
      <w:r>
        <w:t xml:space="preserve"> 2022 году директором МУПа «Теплоэнергоснаб» Главе Администрации Новоюгинского сельского поселения было направлено Ходатайство</w:t>
      </w:r>
      <w:r w:rsidRPr="000A2AA1">
        <w:t xml:space="preserve"> </w:t>
      </w:r>
      <w:r>
        <w:t>от 02.06.2022  № 311, с просьбой оказать Предприятию финансовую помощь. Копия документа передана директором МУПа «Теплоэнергоснаб»  в Контрольный орган Каргасокского района.</w:t>
      </w:r>
    </w:p>
    <w:p w:rsidR="0021796D" w:rsidRDefault="0021796D" w:rsidP="0021796D">
      <w:pPr>
        <w:ind w:firstLine="567"/>
        <w:jc w:val="both"/>
      </w:pPr>
      <w:r>
        <w:t>В соответствии с представленным Ходатайством:</w:t>
      </w:r>
    </w:p>
    <w:p w:rsidR="0021796D" w:rsidRDefault="0021796D" w:rsidP="0021796D">
      <w:pPr>
        <w:ind w:firstLine="567"/>
        <w:jc w:val="both"/>
      </w:pPr>
      <w:proofErr w:type="gramStart"/>
      <w:r>
        <w:t>За период с 2017 года по 2021 год, в связи с ежегодными убытками в размерах: 2017 год – 1 766,0 тыс. руб., 2018 год – 6 210.1</w:t>
      </w:r>
      <w:r w:rsidRPr="008B3BEC">
        <w:t xml:space="preserve"> </w:t>
      </w:r>
      <w:r>
        <w:t xml:space="preserve">тыс. руб., 2019 год – 3 650,5 тыс. руб., 2020 – 991,9 тыс. руб., 2021 год – 4 667,9 тыс. руб. накопилась кредиторская задолженность, которая </w:t>
      </w:r>
      <w:r w:rsidRPr="001F5B5B">
        <w:t xml:space="preserve">на 1 мая 2022 года составляла </w:t>
      </w:r>
      <w:r w:rsidRPr="001F5B5B">
        <w:rPr>
          <w:b/>
        </w:rPr>
        <w:t>11,8</w:t>
      </w:r>
      <w:r w:rsidRPr="001F5B5B">
        <w:t xml:space="preserve"> млн. руб.</w:t>
      </w:r>
      <w:r>
        <w:t>, в том числе: по</w:t>
      </w:r>
      <w:proofErr w:type="gramEnd"/>
      <w:r>
        <w:t xml:space="preserve"> </w:t>
      </w:r>
      <w:proofErr w:type="gramStart"/>
      <w:r>
        <w:t>налогам и сборам – 2,0 млн. руб.; за топливо 6,6 млн. руб., за электроэнергию – 0,5 млн. руб., прочим поставщикам 1,0 млн. руб., потребителям (получена предоплата) - 1,7 млн. рублей.</w:t>
      </w:r>
      <w:proofErr w:type="gramEnd"/>
    </w:p>
    <w:p w:rsidR="0021796D" w:rsidRDefault="0021796D" w:rsidP="0021796D">
      <w:pPr>
        <w:ind w:firstLine="567"/>
        <w:jc w:val="both"/>
      </w:pPr>
      <w:r>
        <w:t xml:space="preserve">В 2022 году ожидается убыток от деятельности Предприятия в размере 1 346,0 тыс. рублей. </w:t>
      </w:r>
    </w:p>
    <w:p w:rsidR="0021796D" w:rsidRDefault="0021796D" w:rsidP="0021796D">
      <w:pPr>
        <w:ind w:firstLine="567"/>
        <w:jc w:val="both"/>
      </w:pPr>
      <w:r>
        <w:t>Директор считает, что все убытки</w:t>
      </w:r>
      <w:r w:rsidRPr="00811380">
        <w:t xml:space="preserve"> </w:t>
      </w:r>
      <w:r>
        <w:t xml:space="preserve">Предприятия сложились в результате сверхнормативных затрат, понесённых при производстве электрической и тепловой энергий. </w:t>
      </w:r>
      <w:proofErr w:type="gramStart"/>
      <w:r>
        <w:t xml:space="preserve">В целом, за период </w:t>
      </w:r>
      <w:r w:rsidRPr="001F5B5B">
        <w:t>с 2017 года по планируемый 2022 год убытки составят 18 632,5 тыс. руб.</w:t>
      </w:r>
      <w:r>
        <w:t>, которые с пояснениями расписаны в составленной таблице, как: сверхнормативные затраты на топливо в размере 5,9 млн. руб., связанные с ростом МРОТ в размере 0,4 млн. руб., работой дизельной электростанции (без учёта сверх нормативных затрат на дизтопливо)  в размере 5,3 млн. руб., выпадающими доходами</w:t>
      </w:r>
      <w:proofErr w:type="gramEnd"/>
      <w:r>
        <w:t xml:space="preserve"> 5,1 млн. руб., прочими 1,9 млн. рублей.</w:t>
      </w:r>
    </w:p>
    <w:p w:rsidR="0021796D" w:rsidRDefault="0021796D" w:rsidP="0021796D">
      <w:pPr>
        <w:ind w:firstLine="567"/>
        <w:jc w:val="both"/>
      </w:pPr>
      <w:r>
        <w:t>Дополнительно к предусмотренным в бюджетах возмещениям по электроснабжению, часть затрат была компенсирована бюджетами: в размере 2,9 млн. руб. в 2018 году, в размере 3,0 млн. руб. в 2019 году с целью погашения части кредиторской задолженности.</w:t>
      </w:r>
    </w:p>
    <w:p w:rsidR="0021796D" w:rsidRDefault="0021796D" w:rsidP="0021796D">
      <w:pPr>
        <w:ind w:firstLine="567"/>
        <w:jc w:val="both"/>
      </w:pPr>
      <w:r>
        <w:t>Директор считает, что для восстановления нормальной работы предприятия необходимо возместить Предприятию затраты в размере 11 млн. рублей.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9E2B23">
        <w:rPr>
          <w:b/>
        </w:rPr>
        <w:lastRenderedPageBreak/>
        <w:t>Д</w:t>
      </w:r>
      <w:r>
        <w:t>ля принятия решения о необходимости оказания финансовой помощи МУПу «Теплоэнергоснаб», Главе Администрации Новоюгинского сельского поселения, как Председателю Совета Новоюгинского сельского поселения, необходимо было провести внеочередное</w:t>
      </w:r>
      <w:r w:rsidRPr="000A2AA1">
        <w:t xml:space="preserve"> </w:t>
      </w:r>
      <w:r>
        <w:t>собрание депутатов, на котором рассмотреть представленные директором материалы, обосновывающие необходимость оказания финансовой помощи Предприятию.</w:t>
      </w:r>
    </w:p>
    <w:p w:rsidR="0021796D" w:rsidRDefault="0021796D" w:rsidP="0021796D">
      <w:pPr>
        <w:ind w:firstLine="567"/>
        <w:jc w:val="both"/>
      </w:pPr>
      <w:r>
        <w:t xml:space="preserve">По причине того, что директор МУПа «Теплоэнергоснаб» 6 июня 2022 года был уволен по собственному желанию, обсуждение данного вопроса на Совете Новоюгинского сельского поселения должно было пройти без его участия, что существенно снизило бы мотивированность и объективность при принятии решения. Согласно поступившей информации сотрудники административно-управленческого персонала МУПа «Теплоэнергоснаб» уволились по собственному желанию. </w:t>
      </w:r>
    </w:p>
    <w:p w:rsidR="0021796D" w:rsidRDefault="0021796D" w:rsidP="0021796D">
      <w:pPr>
        <w:ind w:firstLine="567"/>
        <w:jc w:val="both"/>
      </w:pPr>
      <w:r>
        <w:t xml:space="preserve">Считаем, что по результатам обсуждения данного вопроса (проблемы), депутаты должны были принять одно из решений: о необходимости оказать финансовую помощь </w:t>
      </w:r>
      <w:proofErr w:type="gramStart"/>
      <w:r>
        <w:t>Предприятию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размере, или отказать в ней по указанным в решении причинам. В случае положительного решения, выяснить есть или нет в бюджете необходимые на эти цели средства, и в каком размере. При отсутствии или недостатке средств, принять решение о направлении обращения Главе Каргасокского района об оказании бюджету муниципального образования «Новоюгинское сельское поселение» финансовой помощи в необходимом размере.</w:t>
      </w:r>
    </w:p>
    <w:p w:rsidR="0021796D" w:rsidRDefault="0021796D" w:rsidP="0021796D">
      <w:pPr>
        <w:ind w:firstLine="567"/>
        <w:jc w:val="both"/>
      </w:pPr>
      <w:r>
        <w:t>Считаем, что при обсуждении финансового состояния Предприятия необходимо было Главе Администрации Новоюгинского сельского поселения проинформировать депутатов о том, какие меры предпринимались Администрацией поселения, как Учредителем Предприятия, в 2021 году и в предыдущие годы для улучшения его финансового состояния:</w:t>
      </w:r>
    </w:p>
    <w:p w:rsidR="0021796D" w:rsidRPr="00D14521" w:rsidRDefault="0021796D" w:rsidP="0021796D">
      <w:pPr>
        <w:ind w:firstLine="567"/>
        <w:jc w:val="both"/>
      </w:pPr>
      <w:r w:rsidRPr="00D14521">
        <w:t>1.Как проходило обсуждение и принятие Администрацией сельского поселения плана финансово-хозяйственной деятельности на</w:t>
      </w:r>
      <w:r>
        <w:t xml:space="preserve"> 2020,</w:t>
      </w:r>
      <w:r w:rsidRPr="00D14521">
        <w:t xml:space="preserve"> 2021 год</w:t>
      </w:r>
      <w:r>
        <w:t>ы</w:t>
      </w:r>
      <w:r w:rsidRPr="00D14521">
        <w:t xml:space="preserve"> и утверждение его показателей</w:t>
      </w:r>
      <w:r>
        <w:t xml:space="preserve">. </w:t>
      </w:r>
      <w:r w:rsidRPr="00D14521">
        <w:t>Какой перечень мероприятий был намечен для реализации План</w:t>
      </w:r>
      <w:r>
        <w:t>ов</w:t>
      </w:r>
      <w:r w:rsidRPr="00D14521">
        <w:t>. Предполагалась ли необходимость в течение</w:t>
      </w:r>
      <w:r>
        <w:t xml:space="preserve"> 2020 и</w:t>
      </w:r>
      <w:r w:rsidRPr="00D14521">
        <w:t xml:space="preserve"> 2021 год</w:t>
      </w:r>
      <w:r>
        <w:t>ов</w:t>
      </w:r>
      <w:r w:rsidRPr="00D14521">
        <w:t xml:space="preserve"> оказания финансовой помощи Предприятию, кроме предусмотренной в бюджете на</w:t>
      </w:r>
      <w:r>
        <w:t xml:space="preserve"> 2020 и</w:t>
      </w:r>
      <w:r w:rsidRPr="00D14521">
        <w:t xml:space="preserve"> 2021</w:t>
      </w:r>
      <w:r>
        <w:t xml:space="preserve"> годы;</w:t>
      </w:r>
    </w:p>
    <w:p w:rsidR="0021796D" w:rsidRPr="00D14521" w:rsidRDefault="0021796D" w:rsidP="0021796D">
      <w:pPr>
        <w:ind w:firstLine="567"/>
        <w:jc w:val="both"/>
      </w:pPr>
      <w:r w:rsidRPr="00D14521">
        <w:t>2.Как проходило обсуждение размеров утверждённых в Департаменте тарифного регулирования Томской области тарифов по видам деятельности Предприятия и их обоснований. В какой мере расчёты и тарифы подтверждались показателями отчётн</w:t>
      </w:r>
      <w:r>
        <w:t>ого 2018 года и</w:t>
      </w:r>
      <w:r w:rsidRPr="00D14521">
        <w:t xml:space="preserve"> 2019 года. На какой финансовый результат они нацелены. В какой мере расчёты и тарифы были использованы при составлении План</w:t>
      </w:r>
      <w:r>
        <w:t>ов</w:t>
      </w:r>
      <w:r w:rsidRPr="00D14521">
        <w:t xml:space="preserve"> на 202</w:t>
      </w:r>
      <w:r>
        <w:t>0</w:t>
      </w:r>
      <w:r w:rsidRPr="00D14521">
        <w:t xml:space="preserve"> </w:t>
      </w:r>
      <w:r>
        <w:t>и 2021 годы</w:t>
      </w:r>
      <w:r w:rsidRPr="00D14521">
        <w:t>;</w:t>
      </w:r>
    </w:p>
    <w:p w:rsidR="0021796D" w:rsidRPr="00D14521" w:rsidRDefault="0021796D" w:rsidP="0021796D">
      <w:pPr>
        <w:ind w:firstLine="567"/>
        <w:jc w:val="both"/>
      </w:pPr>
      <w:r w:rsidRPr="00D14521">
        <w:t>3.Как регулярно (ежемесячно или ежеквартально) в течение</w:t>
      </w:r>
      <w:r>
        <w:t xml:space="preserve"> 2020 и</w:t>
      </w:r>
      <w:r w:rsidRPr="00D14521">
        <w:t xml:space="preserve"> 2021 год</w:t>
      </w:r>
      <w:r>
        <w:t>ов</w:t>
      </w:r>
      <w:r w:rsidRPr="00D14521">
        <w:t xml:space="preserve"> обсуждалось выполнение запланированных показателей. Оформлялись ли они протоколами собраний. Как результаты работы</w:t>
      </w:r>
      <w:r>
        <w:t xml:space="preserve"> Предприятия</w:t>
      </w:r>
      <w:r w:rsidRPr="00D14521">
        <w:t xml:space="preserve"> влияли на размеры стимулирования работников трудового коллектива и директора предприятия;</w:t>
      </w:r>
    </w:p>
    <w:p w:rsidR="0021796D" w:rsidRPr="00270484" w:rsidRDefault="0021796D" w:rsidP="0021796D">
      <w:pPr>
        <w:ind w:firstLine="567"/>
        <w:jc w:val="both"/>
        <w:rPr>
          <w:sz w:val="28"/>
        </w:rPr>
      </w:pPr>
      <w:r w:rsidRPr="00270484">
        <w:t xml:space="preserve">4.Как </w:t>
      </w:r>
      <w:r>
        <w:t>У</w:t>
      </w:r>
      <w:r w:rsidRPr="00270484">
        <w:t>чредителем  осуществлялся контроль, за деятельностью Предприятия в</w:t>
      </w:r>
      <w:r>
        <w:t xml:space="preserve"> 2020 и</w:t>
      </w:r>
      <w:r w:rsidRPr="00270484">
        <w:t xml:space="preserve"> 2021 год</w:t>
      </w:r>
      <w:r>
        <w:t>ах</w:t>
      </w:r>
      <w:r w:rsidRPr="00270484">
        <w:t>. Какие были выявлены нарушения, как члены комиссии оценивали эффективность использования, переданных в хозяйственное ведение Предприятию объектов муниципального имущества</w:t>
      </w:r>
      <w:r>
        <w:t>, например при проведении инвентаризаций перед составлением годовых отчётов</w:t>
      </w:r>
      <w:r w:rsidRPr="00270484">
        <w:t>.</w:t>
      </w:r>
    </w:p>
    <w:p w:rsidR="0021796D" w:rsidRDefault="0021796D" w:rsidP="0021796D">
      <w:pPr>
        <w:ind w:firstLine="567"/>
        <w:jc w:val="both"/>
      </w:pPr>
      <w:r w:rsidRPr="00BB11DB">
        <w:t>5.</w:t>
      </w:r>
      <w:r>
        <w:t xml:space="preserve"> Когда были утверждены годовые отчёты о деятельности Предприятия в 2020 и 2021 годах. Что показали анализы </w:t>
      </w:r>
      <w:r w:rsidRPr="00BB11DB">
        <w:t xml:space="preserve">финансово-хозяйственной деятельности Предприятия </w:t>
      </w:r>
      <w:r>
        <w:t>по итогам его работы в 2020 и</w:t>
      </w:r>
      <w:r w:rsidRPr="00BB11DB">
        <w:t xml:space="preserve"> 2021 год</w:t>
      </w:r>
      <w:r>
        <w:t>ах,</w:t>
      </w:r>
      <w:r w:rsidRPr="00BB11DB">
        <w:t xml:space="preserve"> в сравнении с плановыми показателями</w:t>
      </w:r>
      <w:r>
        <w:t>.</w:t>
      </w:r>
      <w:r w:rsidRPr="00BB11DB">
        <w:t xml:space="preserve"> Какие </w:t>
      </w:r>
      <w:r>
        <w:t>были</w:t>
      </w:r>
      <w:r w:rsidRPr="00BB11DB">
        <w:t xml:space="preserve"> сдел</w:t>
      </w:r>
      <w:r>
        <w:t>аны</w:t>
      </w:r>
      <w:r w:rsidRPr="00BB11DB">
        <w:t xml:space="preserve"> выводы и предложения.</w:t>
      </w:r>
      <w:r>
        <w:t xml:space="preserve"> Когда были заслушаны отчёты директора о </w:t>
      </w:r>
      <w:proofErr w:type="gramStart"/>
      <w:r>
        <w:t>деятельности</w:t>
      </w:r>
      <w:proofErr w:type="gramEnd"/>
      <w:r>
        <w:t xml:space="preserve"> Предприятия в 2020 и 2021 годах и </w:t>
      </w:r>
      <w:proofErr w:type="gramStart"/>
      <w:r>
        <w:t>какая</w:t>
      </w:r>
      <w:proofErr w:type="gramEnd"/>
      <w:r>
        <w:t xml:space="preserve"> была дана оценка его деятельности в эти периоды его работы.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>
        <w:lastRenderedPageBreak/>
        <w:t>По данному вопросу не проводилось заседание Совета Новоюгинского сельского поселения. Главе Администрации Каргасокского района было направлено Ходатайство об оказании финансовой помощи МУП «Теплоэнергоснаб» в размере 14,7 млн. рублей. К Ходатайству по вышеуказанным причинам не приложена копия решения Совета Новоюгинского сельского поселения. А также не приложены копия Ходатайства директора МУП «Теплоэнергоснаб» и анализ финансово-хозяйственной деятельности МУПа «Теплоэнергоснаб» за 2021 год и три месяца 2022 года с табличной и текстовой частью, объясняющей представленный цифровой материал.</w:t>
      </w:r>
    </w:p>
    <w:p w:rsidR="0021796D" w:rsidRDefault="0021796D" w:rsidP="0021796D">
      <w:pPr>
        <w:ind w:firstLine="567"/>
        <w:jc w:val="both"/>
      </w:pPr>
      <w:r>
        <w:t xml:space="preserve"> </w:t>
      </w:r>
    </w:p>
    <w:p w:rsidR="0021796D" w:rsidRDefault="0021796D" w:rsidP="0021796D">
      <w:pPr>
        <w:ind w:firstLine="567"/>
        <w:jc w:val="both"/>
      </w:pPr>
      <w:r w:rsidRPr="009E2B23">
        <w:rPr>
          <w:b/>
        </w:rPr>
        <w:t>Н</w:t>
      </w:r>
      <w:r>
        <w:t>а направленный запрос Контрольным органом директору МУПа «Теплоэнергоснаб» 3 июня 2022 года был получен Ответ следующего содержания: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0601F">
        <w:rPr>
          <w:rFonts w:ascii="Times New Roman" w:hAnsi="Times New Roman" w:cs="Times New Roman"/>
          <w:sz w:val="24"/>
        </w:rPr>
        <w:t xml:space="preserve">План ФХД на 2022 год составлен и был предоставлен на  согласование (утверждение) учредителю. План </w:t>
      </w:r>
      <w:proofErr w:type="gramStart"/>
      <w:r w:rsidRPr="00D0601F">
        <w:rPr>
          <w:rFonts w:ascii="Times New Roman" w:hAnsi="Times New Roman" w:cs="Times New Roman"/>
          <w:sz w:val="24"/>
        </w:rPr>
        <w:t>ФХД</w:t>
      </w:r>
      <w:proofErr w:type="gramEnd"/>
      <w:r w:rsidRPr="00D0601F">
        <w:rPr>
          <w:rFonts w:ascii="Times New Roman" w:hAnsi="Times New Roman" w:cs="Times New Roman"/>
          <w:sz w:val="24"/>
        </w:rPr>
        <w:t xml:space="preserve"> как и его показатели Учредителем не рассмотрены и соответственно не утверждены. С порядком предоставле</w:t>
      </w:r>
      <w:r>
        <w:rPr>
          <w:rFonts w:ascii="Times New Roman" w:hAnsi="Times New Roman" w:cs="Times New Roman"/>
          <w:sz w:val="24"/>
        </w:rPr>
        <w:t>ния Плана ФХД директора Предприятия не знакомили;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D0601F">
        <w:rPr>
          <w:rFonts w:ascii="Times New Roman" w:hAnsi="Times New Roman" w:cs="Times New Roman"/>
          <w:sz w:val="24"/>
        </w:rPr>
        <w:t>Отчет за 2021 год Учредителю предоставлен. Учредителем отчет не утвержд</w:t>
      </w:r>
      <w:r>
        <w:rPr>
          <w:rFonts w:ascii="Times New Roman" w:hAnsi="Times New Roman" w:cs="Times New Roman"/>
          <w:sz w:val="24"/>
        </w:rPr>
        <w:t>ё</w:t>
      </w:r>
      <w:r w:rsidRPr="00D0601F">
        <w:rPr>
          <w:rFonts w:ascii="Times New Roman" w:hAnsi="Times New Roman" w:cs="Times New Roman"/>
          <w:sz w:val="24"/>
        </w:rPr>
        <w:t xml:space="preserve">н. С порядком предоставления годового отчета </w:t>
      </w:r>
      <w:r>
        <w:rPr>
          <w:rFonts w:ascii="Times New Roman" w:hAnsi="Times New Roman" w:cs="Times New Roman"/>
          <w:sz w:val="24"/>
        </w:rPr>
        <w:t>директор Предприятия не знаком;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D0601F">
        <w:rPr>
          <w:rFonts w:ascii="Times New Roman" w:hAnsi="Times New Roman" w:cs="Times New Roman"/>
          <w:sz w:val="24"/>
        </w:rPr>
        <w:t>Инвентаризация объектов муниципального имущества не проводилась. Претензий по данному в</w:t>
      </w:r>
      <w:r>
        <w:rPr>
          <w:rFonts w:ascii="Times New Roman" w:hAnsi="Times New Roman" w:cs="Times New Roman"/>
          <w:sz w:val="24"/>
        </w:rPr>
        <w:t>опросу Учредитель не предъявлял;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D0601F">
        <w:rPr>
          <w:rFonts w:ascii="Times New Roman" w:hAnsi="Times New Roman" w:cs="Times New Roman"/>
          <w:sz w:val="24"/>
        </w:rPr>
        <w:t>Обсуждение итогов работы</w:t>
      </w:r>
      <w:r>
        <w:rPr>
          <w:rFonts w:ascii="Times New Roman" w:hAnsi="Times New Roman" w:cs="Times New Roman"/>
          <w:sz w:val="24"/>
        </w:rPr>
        <w:t xml:space="preserve"> Предприятия не проводилось,</w:t>
      </w:r>
      <w:r w:rsidRPr="00D0601F">
        <w:rPr>
          <w:rFonts w:ascii="Times New Roman" w:hAnsi="Times New Roman" w:cs="Times New Roman"/>
          <w:sz w:val="24"/>
        </w:rPr>
        <w:t xml:space="preserve"> 03.06.2022 были не формально заслушаны показатели финансового состояни</w:t>
      </w:r>
      <w:r>
        <w:rPr>
          <w:rFonts w:ascii="Times New Roman" w:hAnsi="Times New Roman" w:cs="Times New Roman"/>
          <w:sz w:val="24"/>
        </w:rPr>
        <w:t>я предприятия на текущий момент;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D0601F">
        <w:rPr>
          <w:rFonts w:ascii="Times New Roman" w:hAnsi="Times New Roman" w:cs="Times New Roman"/>
          <w:sz w:val="24"/>
        </w:rPr>
        <w:t>В течени</w:t>
      </w:r>
      <w:r>
        <w:rPr>
          <w:rFonts w:ascii="Times New Roman" w:hAnsi="Times New Roman" w:cs="Times New Roman"/>
          <w:sz w:val="24"/>
        </w:rPr>
        <w:t>е</w:t>
      </w:r>
      <w:r w:rsidRPr="00D0601F">
        <w:rPr>
          <w:rFonts w:ascii="Times New Roman" w:hAnsi="Times New Roman" w:cs="Times New Roman"/>
          <w:sz w:val="24"/>
        </w:rPr>
        <w:t xml:space="preserve"> 2021 года, как и в предыдущие годы, ежемесячное обсуждение  результатов работы Предприятия не проходило. Премирование не обсуждалось. В 2021 году мной подано два заявление на премию, ответ до настоящего времени не получен. Устно я многократно требовал от Учредителя обсудить премирование.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D0601F">
        <w:rPr>
          <w:rFonts w:ascii="Times New Roman" w:hAnsi="Times New Roman" w:cs="Times New Roman"/>
          <w:sz w:val="24"/>
        </w:rPr>
        <w:t>Контрольные мероприятия Учредителем не провод</w:t>
      </w:r>
      <w:r>
        <w:rPr>
          <w:rFonts w:ascii="Times New Roman" w:hAnsi="Times New Roman" w:cs="Times New Roman"/>
          <w:sz w:val="24"/>
        </w:rPr>
        <w:t>ились;</w:t>
      </w:r>
    </w:p>
    <w:p w:rsidR="0021796D" w:rsidRPr="00D0601F" w:rsidRDefault="0021796D" w:rsidP="0021796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D0601F">
        <w:rPr>
          <w:rFonts w:ascii="Times New Roman" w:hAnsi="Times New Roman" w:cs="Times New Roman"/>
          <w:sz w:val="24"/>
        </w:rPr>
        <w:t>Анализ деятельности Предп</w:t>
      </w:r>
      <w:r>
        <w:rPr>
          <w:rFonts w:ascii="Times New Roman" w:hAnsi="Times New Roman" w:cs="Times New Roman"/>
          <w:sz w:val="24"/>
        </w:rPr>
        <w:t>риятия Учредитель не запрашивал.</w:t>
      </w:r>
      <w:r w:rsidRPr="00D06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D0601F">
        <w:rPr>
          <w:rFonts w:ascii="Times New Roman" w:hAnsi="Times New Roman" w:cs="Times New Roman"/>
          <w:sz w:val="24"/>
        </w:rPr>
        <w:t>нализ выполнялся директором самостоятельно</w:t>
      </w:r>
      <w:r>
        <w:rPr>
          <w:rFonts w:ascii="Times New Roman" w:hAnsi="Times New Roman" w:cs="Times New Roman"/>
          <w:sz w:val="24"/>
        </w:rPr>
        <w:t>,</w:t>
      </w:r>
      <w:r w:rsidRPr="00D0601F">
        <w:rPr>
          <w:rFonts w:ascii="Times New Roman" w:hAnsi="Times New Roman" w:cs="Times New Roman"/>
          <w:sz w:val="24"/>
        </w:rPr>
        <w:t xml:space="preserve"> в рамках подведения годовых итогов.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320637">
        <w:rPr>
          <w:b/>
        </w:rPr>
        <w:t>К</w:t>
      </w:r>
      <w:r>
        <w:t xml:space="preserve">онтрольному органу директором  МУПа «Теплоэнергоснаб» была предоставлена электронная база данных бухгалтерского учёта Предприятия. </w:t>
      </w:r>
    </w:p>
    <w:p w:rsidR="0021796D" w:rsidRPr="00E5617F" w:rsidRDefault="0021796D" w:rsidP="0021796D">
      <w:pPr>
        <w:ind w:firstLine="567"/>
        <w:jc w:val="both"/>
      </w:pPr>
      <w:r>
        <w:t xml:space="preserve">Анализ отдельных показателей финансового состояния </w:t>
      </w:r>
      <w:r w:rsidRPr="00E5617F">
        <w:t>МУП</w:t>
      </w:r>
      <w:r>
        <w:t>а</w:t>
      </w:r>
      <w:r w:rsidRPr="00E5617F">
        <w:t xml:space="preserve"> «Теплоэнергоснаб»</w:t>
      </w:r>
      <w:r>
        <w:t xml:space="preserve"> показал следующее.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center"/>
        <w:rPr>
          <w:b/>
          <w:bCs/>
        </w:rPr>
      </w:pPr>
      <w:r w:rsidRPr="00E5617F">
        <w:rPr>
          <w:b/>
          <w:bCs/>
        </w:rPr>
        <w:t xml:space="preserve">Свод доходов и расходов по </w:t>
      </w:r>
      <w:r w:rsidRPr="00E5617F">
        <w:rPr>
          <w:b/>
        </w:rPr>
        <w:t>МУП «Теплоэнергоснаб»</w:t>
      </w:r>
    </w:p>
    <w:p w:rsidR="0021796D" w:rsidRPr="00E5617F" w:rsidRDefault="0021796D" w:rsidP="0021796D">
      <w:pPr>
        <w:ind w:firstLine="567"/>
        <w:jc w:val="center"/>
        <w:rPr>
          <w:b/>
          <w:bCs/>
        </w:rPr>
      </w:pPr>
      <w:r w:rsidRPr="00E5617F">
        <w:rPr>
          <w:b/>
          <w:bCs/>
        </w:rPr>
        <w:t xml:space="preserve"> за  2021 год</w:t>
      </w:r>
    </w:p>
    <w:p w:rsidR="0021796D" w:rsidRPr="00E5617F" w:rsidRDefault="0021796D" w:rsidP="0021796D">
      <w:pPr>
        <w:ind w:firstLine="567"/>
        <w:jc w:val="both"/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21796D" w:rsidRPr="00E5617F" w:rsidTr="001665C4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992"/>
              <w:gridCol w:w="1559"/>
              <w:gridCol w:w="1634"/>
              <w:gridCol w:w="1768"/>
            </w:tblGrid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E5617F">
                    <w:rPr>
                      <w:b/>
                      <w:bCs/>
                    </w:rPr>
                    <w:t>п</w:t>
                  </w:r>
                  <w:proofErr w:type="gramEnd"/>
                  <w:r w:rsidRPr="00E5617F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Ед. изм.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Default="0021796D" w:rsidP="001665C4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Себестоимость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rPr>
                      <w:b/>
                      <w:bCs/>
                    </w:rPr>
                  </w:pPr>
                  <w:proofErr w:type="spellStart"/>
                  <w:r w:rsidRPr="00E5617F">
                    <w:rPr>
                      <w:b/>
                      <w:bCs/>
                    </w:rPr>
                    <w:t>Общехозяйств</w:t>
                  </w:r>
                  <w:proofErr w:type="spellEnd"/>
                  <w:r w:rsidRPr="00E5617F">
                    <w:rPr>
                      <w:b/>
                      <w:bCs/>
                    </w:rPr>
                    <w:t>.</w:t>
                  </w:r>
                </w:p>
                <w:p w:rsidR="0021796D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расходы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Расходы</w:t>
                  </w:r>
                  <w:proofErr w:type="gramStart"/>
                  <w:r w:rsidRPr="00E5617F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E5617F">
                    <w:rPr>
                      <w:b/>
                      <w:bCs/>
                    </w:rPr>
                    <w:t>сего, в т.ч. по видам деятельности: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Default="0021796D" w:rsidP="001665C4">
                  <w:pPr>
                    <w:jc w:val="center"/>
                    <w:rPr>
                      <w:b/>
                      <w:bCs/>
                    </w:rPr>
                  </w:pPr>
                </w:p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Default="0021796D" w:rsidP="001665C4">
                  <w:pPr>
                    <w:jc w:val="right"/>
                    <w:rPr>
                      <w:b/>
                      <w:bCs/>
                    </w:rPr>
                  </w:pPr>
                </w:p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21 066 153,68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Default="0021796D" w:rsidP="001665C4">
                  <w:pPr>
                    <w:jc w:val="right"/>
                    <w:rPr>
                      <w:b/>
                      <w:bCs/>
                    </w:rPr>
                  </w:pPr>
                </w:p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18 692 925,63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Default="0021796D" w:rsidP="001665C4">
                  <w:pPr>
                    <w:jc w:val="center"/>
                    <w:rPr>
                      <w:b/>
                      <w:bCs/>
                    </w:rPr>
                  </w:pPr>
                </w:p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2 373 228,05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детский сад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3 897 721,66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3 495 414,95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402 306,71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 xml:space="preserve">Котельная с. </w:t>
                  </w:r>
                  <w:proofErr w:type="spellStart"/>
                  <w:r w:rsidRPr="00E5617F">
                    <w:t>Староюгино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4 039 170,23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3 630 417,48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408 752,75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с. Киндал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3 082 836,82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2 719 272,09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363 564,73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школа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3 563 596,71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3 170 693,23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392 903,48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Отопление Б. Грива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1 997 842,60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1 669 713,43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328 129,17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1.6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Электроснабжение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4 465 119,64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3 987 548,43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477 571,21</w:t>
                  </w: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Cs/>
                    </w:rPr>
                  </w:pPr>
                  <w:r w:rsidRPr="00E5617F">
                    <w:rPr>
                      <w:bCs/>
                    </w:rPr>
                    <w:t>1.7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</w:t>
                  </w:r>
                  <w:r w:rsidRPr="00E5617F">
                    <w:rPr>
                      <w:bCs/>
                    </w:rPr>
                    <w:t>Станция очистки воды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Cs/>
                    </w:rPr>
                  </w:pPr>
                  <w:r w:rsidRPr="00E5617F">
                    <w:rPr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Cs/>
                    </w:rPr>
                  </w:pPr>
                  <w:r w:rsidRPr="00E5617F">
                    <w:rPr>
                      <w:bCs/>
                    </w:rPr>
                    <w:t>19 866,02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Cs/>
                    </w:rPr>
                  </w:pPr>
                  <w:r w:rsidRPr="00E5617F">
                    <w:rPr>
                      <w:bCs/>
                    </w:rPr>
                    <w:t>19 866,02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Доходы</w:t>
                  </w:r>
                  <w:proofErr w:type="gramStart"/>
                  <w:r w:rsidRPr="00E5617F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E5617F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16 739 531,48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lastRenderedPageBreak/>
                    <w:t>2.1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детский сад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1 879 393,74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 xml:space="preserve">Котельная с. </w:t>
                  </w:r>
                  <w:proofErr w:type="spellStart"/>
                  <w:r w:rsidRPr="00E5617F">
                    <w:t>Староюгино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4 963 632,25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с. Киндал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1 863 937,62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школа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3 686 618,77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Отопление Б. Грива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1 851 814,84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Электроснабжение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2 118 473,51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Станция водоснабжения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45 000,00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2.8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Прочие услуги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330 660,75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  <w:r w:rsidRPr="00E5617F">
                    <w:rPr>
                      <w:b/>
                      <w:bCs/>
                    </w:rPr>
                    <w:t>-4 326 622,20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детский сад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-2 018 327,92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 xml:space="preserve">Котельная с. </w:t>
                  </w:r>
                  <w:proofErr w:type="spellStart"/>
                  <w:r w:rsidRPr="00E5617F">
                    <w:t>Староюгино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924 462,02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с. Киндал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-1 218 899,20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Котельная школа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123 022,06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Отопление Б. Грива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-146 027,76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Электроснабжение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-2 346 646,13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r w:rsidRPr="00E5617F">
                    <w:t>Прочие услуги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330 660,75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3.8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rPr>
                      <w:b/>
                    </w:rPr>
                  </w:pPr>
                  <w:r w:rsidRPr="00E5617F">
                    <w:rPr>
                      <w:bCs/>
                    </w:rPr>
                    <w:t>Станция очистки воды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</w:pPr>
                  <w:r w:rsidRPr="00E5617F">
                    <w:t>25 133,98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Прочие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</w:pPr>
                  <w:r w:rsidRPr="00E5617F"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  <w:r w:rsidRPr="00E5617F">
                    <w:rPr>
                      <w:b/>
                    </w:rPr>
                    <w:t>1537,55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Прочие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  <w:r w:rsidRPr="00E5617F">
                    <w:rPr>
                      <w:b/>
                    </w:rPr>
                    <w:t>176 094,08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УСН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  <w:r w:rsidRPr="00E5617F">
                    <w:rPr>
                      <w:b/>
                    </w:rPr>
                    <w:t>166 719,00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Прочее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  <w:tr w:rsidR="0021796D" w:rsidRPr="00E5617F" w:rsidTr="001665C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ind w:left="-360"/>
                    <w:rPr>
                      <w:b/>
                    </w:rPr>
                  </w:pPr>
                  <w:r w:rsidRPr="00E5617F">
                    <w:rPr>
                      <w:b/>
                    </w:rPr>
                    <w:t>Чистая прибыль (убыток)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center"/>
                    <w:rPr>
                      <w:b/>
                    </w:rPr>
                  </w:pPr>
                  <w:r w:rsidRPr="00E5617F">
                    <w:rPr>
                      <w:b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  <w:r w:rsidRPr="00E5617F">
                    <w:rPr>
                      <w:b/>
                    </w:rPr>
                    <w:t xml:space="preserve">-4 667 897,73 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96D" w:rsidRPr="00E5617F" w:rsidRDefault="0021796D" w:rsidP="001665C4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21796D" w:rsidRPr="00E5617F" w:rsidRDefault="0021796D" w:rsidP="001665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96D" w:rsidRPr="00E5617F" w:rsidRDefault="0021796D" w:rsidP="001665C4">
            <w:pPr>
              <w:ind w:hanging="187"/>
            </w:pPr>
          </w:p>
        </w:tc>
      </w:tr>
    </w:tbl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>Как видно из представленной таблицы, убыток в целом по Предприятию за 2021 год составил 4 667 897,73</w:t>
      </w:r>
      <w:r>
        <w:t xml:space="preserve"> </w:t>
      </w:r>
      <w:r w:rsidRPr="00E5617F">
        <w:t>руб., который увеличился по сравнению с 2020 годом на                      3 648 755,73 руб., или в 4,6 раза. Также в разрезе видов деятельности увеличилось количество видов, по которым получен убыток по итогам года. В 2020 году только два вида деятельности были убыточными. Это</w:t>
      </w:r>
      <w:r>
        <w:t xml:space="preserve"> по теплоснабжению</w:t>
      </w:r>
      <w:r w:rsidRPr="00E5617F">
        <w:t xml:space="preserve"> котельная</w:t>
      </w:r>
      <w:r>
        <w:t xml:space="preserve"> в</w:t>
      </w:r>
      <w:r w:rsidRPr="00E5617F">
        <w:t xml:space="preserve"> с</w:t>
      </w:r>
      <w:r>
        <w:t xml:space="preserve">еле </w:t>
      </w:r>
      <w:r w:rsidRPr="00E5617F">
        <w:t xml:space="preserve">Киндал и </w:t>
      </w:r>
      <w:r>
        <w:t xml:space="preserve">по </w:t>
      </w:r>
      <w:r w:rsidRPr="00E5617F">
        <w:t>электроснабжени</w:t>
      </w:r>
      <w:r>
        <w:t>ю</w:t>
      </w:r>
      <w:r w:rsidRPr="00E5617F">
        <w:t xml:space="preserve"> ДЭС</w:t>
      </w:r>
      <w:r>
        <w:t xml:space="preserve"> в</w:t>
      </w:r>
      <w:r w:rsidRPr="00E5617F">
        <w:t xml:space="preserve"> с</w:t>
      </w:r>
      <w:r>
        <w:t xml:space="preserve">еле </w:t>
      </w:r>
      <w:r w:rsidRPr="00E5617F">
        <w:t xml:space="preserve">Наунак. В 2021 году количество убыточных видов деятельности увеличилось до четырех, </w:t>
      </w:r>
      <w:proofErr w:type="gramStart"/>
      <w:r w:rsidRPr="00E5617F">
        <w:t>к</w:t>
      </w:r>
      <w:proofErr w:type="gramEnd"/>
      <w:r w:rsidRPr="00E5617F">
        <w:t xml:space="preserve"> предыдущим добавились еще котельная детск</w:t>
      </w:r>
      <w:r>
        <w:t>ого</w:t>
      </w:r>
      <w:r w:rsidRPr="00E5617F">
        <w:t xml:space="preserve"> сад</w:t>
      </w:r>
      <w:r>
        <w:t>а в</w:t>
      </w:r>
      <w:r w:rsidRPr="00E5617F">
        <w:t xml:space="preserve"> с</w:t>
      </w:r>
      <w:r>
        <w:t xml:space="preserve">еле </w:t>
      </w:r>
      <w:r w:rsidRPr="00E5617F">
        <w:t>Новоюгино и отопление</w:t>
      </w:r>
      <w:r>
        <w:t xml:space="preserve"> в селе</w:t>
      </w:r>
      <w:r w:rsidRPr="00E5617F">
        <w:t xml:space="preserve"> Б.</w:t>
      </w:r>
      <w:r>
        <w:t xml:space="preserve"> </w:t>
      </w:r>
      <w:r w:rsidRPr="00E5617F">
        <w:t xml:space="preserve">Грива. 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Контрольным органом сверены отчетные данные по жилищно-коммунальному хозяйству за 2021 год, представленные МУПом «Теплоэнергоснаб» в </w:t>
      </w:r>
      <w:r>
        <w:t>О</w:t>
      </w:r>
      <w:r w:rsidRPr="00E5617F">
        <w:t>тдел жизнеобеспечения Администрации Каргасокского района с данными бухгалтерского учёта Предприятия. Расхождений не установлено.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rPr>
          <w:b/>
        </w:rPr>
        <w:t xml:space="preserve">За 4 месяца 2022 года </w:t>
      </w:r>
      <w:r w:rsidRPr="00E5617F">
        <w:t>экономическая ситуация на Предприятии согласно данных бухгалтерского учёта</w:t>
      </w:r>
      <w:r>
        <w:t xml:space="preserve"> сложилась</w:t>
      </w:r>
      <w:r w:rsidRPr="00E5617F">
        <w:t xml:space="preserve"> следующ</w:t>
      </w:r>
      <w:r>
        <w:t>им образом</w:t>
      </w:r>
      <w:r w:rsidRPr="00E5617F">
        <w:t>: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 xml:space="preserve">                                                              </w:t>
      </w:r>
      <w:r>
        <w:t xml:space="preserve">                                       (рубли)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2835"/>
      </w:tblGrid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  <w:rPr>
                <w:b/>
              </w:rPr>
            </w:pPr>
            <w:r w:rsidRPr="00E5617F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both"/>
              <w:rPr>
                <w:b/>
              </w:rPr>
            </w:pPr>
            <w:r w:rsidRPr="00E5617F">
              <w:rPr>
                <w:b/>
              </w:rPr>
              <w:t>Фактически за январь-апрель 2022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Выручка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>7 617 904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Себестоимость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>8 311 588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Общехозяйственные расходы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 xml:space="preserve">   730 359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Финансовый результат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>-1 424 043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Прочие доходы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 xml:space="preserve">      </w:t>
            </w:r>
            <w:r>
              <w:t>0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lastRenderedPageBreak/>
              <w:t>Прочие расходы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>100 732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</w:pPr>
            <w:r w:rsidRPr="00E5617F">
              <w:t>УСН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</w:pPr>
            <w:r w:rsidRPr="00E5617F">
              <w:t xml:space="preserve">    141 041</w:t>
            </w:r>
          </w:p>
        </w:tc>
      </w:tr>
      <w:tr w:rsidR="0021796D" w:rsidRPr="00E5617F" w:rsidTr="001665C4">
        <w:tc>
          <w:tcPr>
            <w:tcW w:w="3969" w:type="dxa"/>
          </w:tcPr>
          <w:p w:rsidR="0021796D" w:rsidRPr="00E5617F" w:rsidRDefault="0021796D" w:rsidP="001665C4">
            <w:pPr>
              <w:jc w:val="both"/>
              <w:rPr>
                <w:b/>
              </w:rPr>
            </w:pPr>
            <w:r w:rsidRPr="00E5617F">
              <w:rPr>
                <w:b/>
              </w:rPr>
              <w:t>Чистая прибыль (убыток)</w:t>
            </w:r>
          </w:p>
        </w:tc>
        <w:tc>
          <w:tcPr>
            <w:tcW w:w="2835" w:type="dxa"/>
          </w:tcPr>
          <w:p w:rsidR="0021796D" w:rsidRPr="00E5617F" w:rsidRDefault="0021796D" w:rsidP="001665C4">
            <w:pPr>
              <w:jc w:val="right"/>
              <w:rPr>
                <w:b/>
              </w:rPr>
            </w:pPr>
            <w:r w:rsidRPr="00E5617F">
              <w:rPr>
                <w:b/>
              </w:rPr>
              <w:t>- 1 665 816</w:t>
            </w:r>
          </w:p>
        </w:tc>
      </w:tr>
    </w:tbl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 xml:space="preserve">Кредиторская задолженность на </w:t>
      </w:r>
      <w:r w:rsidRPr="00E5617F">
        <w:rPr>
          <w:b/>
        </w:rPr>
        <w:t>1 мая 2022 года</w:t>
      </w:r>
      <w:r w:rsidRPr="00E5617F">
        <w:t xml:space="preserve"> составляет </w:t>
      </w:r>
      <w:r w:rsidRPr="00E5617F">
        <w:rPr>
          <w:b/>
        </w:rPr>
        <w:t>13 323 037</w:t>
      </w:r>
      <w:r w:rsidRPr="00E5617F">
        <w:t xml:space="preserve">  руб., в т.ч: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Расчёты с поставщиками (счёт 60)                     </w:t>
      </w:r>
      <w:r>
        <w:t xml:space="preserve"> </w:t>
      </w:r>
      <w:r w:rsidRPr="00E5617F">
        <w:t>7 565 998  руб.;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Расчёты с покупателями (счёт 62) </w:t>
      </w:r>
      <w:r>
        <w:t xml:space="preserve">                                    0 руб.;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(авансы полученные)                                           </w:t>
      </w:r>
      <w:r>
        <w:t xml:space="preserve"> </w:t>
      </w:r>
      <w:r w:rsidRPr="00E5617F">
        <w:t xml:space="preserve">2 561 995 руб.;                                                         </w:t>
      </w:r>
    </w:p>
    <w:p w:rsidR="0021796D" w:rsidRPr="00E5617F" w:rsidRDefault="0021796D" w:rsidP="0021796D">
      <w:pPr>
        <w:ind w:firstLine="567"/>
        <w:jc w:val="both"/>
      </w:pPr>
      <w:r w:rsidRPr="00E5617F">
        <w:t>Расчёты по налогам и сборам (счёт 68)              1 100 192 руб.;</w:t>
      </w:r>
    </w:p>
    <w:p w:rsidR="0021796D" w:rsidRPr="00E5617F" w:rsidRDefault="0021796D" w:rsidP="0021796D">
      <w:pPr>
        <w:ind w:firstLine="567"/>
        <w:jc w:val="both"/>
      </w:pPr>
      <w:r w:rsidRPr="00E5617F">
        <w:t>Расчёты по страховым взносам (счёт 69)           1 191 344 руб.;</w:t>
      </w:r>
    </w:p>
    <w:p w:rsidR="0021796D" w:rsidRPr="00E5617F" w:rsidRDefault="0021796D" w:rsidP="0021796D">
      <w:pPr>
        <w:ind w:firstLine="567"/>
        <w:jc w:val="both"/>
      </w:pPr>
      <w:r w:rsidRPr="00E5617F">
        <w:t>Расчёты по заработной плате (счёт 70)                    37 557 руб.: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Расчёты с подотчётными лицами  (счёт 71)          </w:t>
      </w:r>
      <w:r>
        <w:t xml:space="preserve"> </w:t>
      </w:r>
      <w:r w:rsidRPr="00E5617F">
        <w:t>307 717 руб.;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Расчёты с прочими кредиторами (счета 73, 76)   </w:t>
      </w:r>
      <w:r>
        <w:t xml:space="preserve">  </w:t>
      </w:r>
      <w:r w:rsidRPr="00E5617F">
        <w:t>558 234 руб.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>Основная сумма кредиторской задолженности это оплата поставщикам: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ООО «МЦТТ» за уголь в сумме </w:t>
      </w:r>
      <w:r w:rsidRPr="00E5617F">
        <w:rPr>
          <w:b/>
        </w:rPr>
        <w:t xml:space="preserve">4 501 515 </w:t>
      </w:r>
      <w:r w:rsidRPr="00E5617F">
        <w:t xml:space="preserve"> руб., которая образовалась ещё в течение 2021 года; 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ООО «Открытие» за дизельное топливо, которое поступило в 2022году на сумму </w:t>
      </w:r>
      <w:r w:rsidRPr="00E5617F">
        <w:rPr>
          <w:b/>
        </w:rPr>
        <w:t>2 168 227</w:t>
      </w:r>
      <w:r w:rsidRPr="00E5617F">
        <w:t xml:space="preserve"> руб.;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АО «Томскэнергосбыт»  за электроэнергию в сумме </w:t>
      </w:r>
      <w:r w:rsidRPr="00E5617F">
        <w:rPr>
          <w:b/>
        </w:rPr>
        <w:t xml:space="preserve">483 216 </w:t>
      </w:r>
      <w:r w:rsidRPr="00E5617F">
        <w:t>руб</w:t>
      </w:r>
      <w:r>
        <w:t>.</w:t>
      </w:r>
      <w:r w:rsidRPr="00E5617F">
        <w:t>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ООО «Энергия» за дизельное топливо, которое поступило в марте 2021 года на сумму </w:t>
      </w:r>
      <w:r w:rsidRPr="00E5617F">
        <w:rPr>
          <w:b/>
        </w:rPr>
        <w:t>156 705,07</w:t>
      </w:r>
      <w:r w:rsidRPr="00E5617F">
        <w:t xml:space="preserve"> руб.; 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ОГБУЗ «Каргасокская РБ» за медосмотр в сумме </w:t>
      </w:r>
      <w:r w:rsidRPr="00E5617F">
        <w:rPr>
          <w:b/>
        </w:rPr>
        <w:t>140 972</w:t>
      </w:r>
      <w:r w:rsidRPr="00E5617F">
        <w:t xml:space="preserve"> руб. Медосмотр проводился в октябре 2021 года;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Фадеев Е.Л. за дрова задолженность составляет </w:t>
      </w:r>
      <w:r w:rsidRPr="00E5617F">
        <w:rPr>
          <w:b/>
        </w:rPr>
        <w:t>84 450</w:t>
      </w:r>
      <w:r w:rsidRPr="00E5617F">
        <w:t xml:space="preserve"> руб.</w:t>
      </w:r>
    </w:p>
    <w:p w:rsidR="0021796D" w:rsidRPr="00E5617F" w:rsidRDefault="0021796D" w:rsidP="0021796D">
      <w:pPr>
        <w:ind w:firstLine="567"/>
        <w:jc w:val="both"/>
      </w:pPr>
      <w:r w:rsidRPr="00E5617F">
        <w:t>Также имеются другие кредиторы за товары и услуги, сумма задолженности которым менее 20 000 руб.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>В сумму кредиторской задолженности включены авансы полученные (счёт 62):</w:t>
      </w:r>
    </w:p>
    <w:p w:rsidR="0021796D" w:rsidRPr="00E5617F" w:rsidRDefault="0021796D" w:rsidP="0021796D">
      <w:pPr>
        <w:ind w:firstLine="567"/>
        <w:jc w:val="both"/>
      </w:pPr>
      <w:r w:rsidRPr="00E5617F">
        <w:t xml:space="preserve">Администрация Новоюгинского сельского поселения, аванс субсидии на компенсацию расходов по организации электроснабжения от дизельных электростанций в сумме 1 876 163 руб., </w:t>
      </w:r>
    </w:p>
    <w:p w:rsidR="0021796D" w:rsidRPr="00E5617F" w:rsidRDefault="0021796D" w:rsidP="0021796D">
      <w:pPr>
        <w:ind w:firstLine="567"/>
        <w:jc w:val="both"/>
      </w:pPr>
      <w:r w:rsidRPr="00E5617F">
        <w:t>Администрация Каргасокского района в сумме 498 374 руб. Данная сумма получена Предприятием по решению Арбитражного суда и должна быть оприходована на прочие доходы, а не увеличивать сумму кредиторской задолженности;</w:t>
      </w:r>
    </w:p>
    <w:p w:rsidR="0021796D" w:rsidRPr="00E5617F" w:rsidRDefault="0021796D" w:rsidP="0021796D">
      <w:pPr>
        <w:ind w:firstLine="567"/>
        <w:jc w:val="both"/>
      </w:pPr>
      <w:r w:rsidRPr="00E5617F">
        <w:t>МКОУ «Новоюгинская СОШ» аванс за услуги в сумме 146 743 руб.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proofErr w:type="gramStart"/>
      <w:r w:rsidRPr="00E5617F">
        <w:t xml:space="preserve">Кредиторская задолженность по расчетам с подотчётными лицами состоит в основном из долга Вялову Л.В. в сумме </w:t>
      </w:r>
      <w:r w:rsidRPr="004B4BBB">
        <w:t>295 777</w:t>
      </w:r>
      <w:r w:rsidRPr="00E5617F">
        <w:t xml:space="preserve"> руб., и </w:t>
      </w:r>
      <w:proofErr w:type="spellStart"/>
      <w:r w:rsidRPr="00E5617F">
        <w:t>Салабай</w:t>
      </w:r>
      <w:proofErr w:type="spellEnd"/>
      <w:r w:rsidRPr="00E5617F">
        <w:t xml:space="preserve"> В.В с сумме 11 376 руб., а также  других незначительных сумм.</w:t>
      </w:r>
      <w:proofErr w:type="gramEnd"/>
    </w:p>
    <w:p w:rsidR="0021796D" w:rsidRPr="00E5617F" w:rsidRDefault="0021796D" w:rsidP="0021796D">
      <w:pPr>
        <w:ind w:firstLine="567"/>
        <w:jc w:val="both"/>
      </w:pPr>
      <w:r w:rsidRPr="00E5617F">
        <w:t>Прочая кредиторская задолженность это задолженность за аренду автомобиля Вялову Л.</w:t>
      </w:r>
      <w:proofErr w:type="gramStart"/>
      <w:r w:rsidRPr="00E5617F">
        <w:t>В</w:t>
      </w:r>
      <w:proofErr w:type="gramEnd"/>
      <w:r w:rsidRPr="00E5617F">
        <w:t xml:space="preserve"> </w:t>
      </w:r>
      <w:proofErr w:type="gramStart"/>
      <w:r w:rsidRPr="00E5617F">
        <w:t>в</w:t>
      </w:r>
      <w:proofErr w:type="gramEnd"/>
      <w:r w:rsidRPr="00E5617F">
        <w:t xml:space="preserve"> сумме 342 772 руб., </w:t>
      </w:r>
      <w:proofErr w:type="spellStart"/>
      <w:r w:rsidRPr="00E5617F">
        <w:t>Салабай</w:t>
      </w:r>
      <w:proofErr w:type="spellEnd"/>
      <w:r w:rsidRPr="00E5617F">
        <w:t xml:space="preserve"> В.В. в сумме 33 328 руб., а также задолженность по договорам ГПХ.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>На 1 мая 2022 года на Предприятии имеется дебиторская задолженность за услуги в сумме 1 280 665 руб., которая носит текущий характер:</w:t>
      </w:r>
    </w:p>
    <w:p w:rsidR="0021796D" w:rsidRPr="00E5617F" w:rsidRDefault="0021796D" w:rsidP="0021796D">
      <w:pPr>
        <w:ind w:firstLine="567"/>
        <w:jc w:val="both"/>
      </w:pPr>
      <w:r w:rsidRPr="00E5617F">
        <w:t>ОГБУЗ «Каргасокская РБ»  в сумме 477 884  руб.;</w:t>
      </w:r>
    </w:p>
    <w:p w:rsidR="0021796D" w:rsidRPr="00E5617F" w:rsidRDefault="0021796D" w:rsidP="0021796D">
      <w:pPr>
        <w:ind w:firstLine="567"/>
        <w:jc w:val="both"/>
      </w:pPr>
      <w:r w:rsidRPr="00E5617F">
        <w:t>МКОУ «Староюгинская школа» в сумме 242 847 руб.;</w:t>
      </w:r>
    </w:p>
    <w:p w:rsidR="0021796D" w:rsidRPr="00E5617F" w:rsidRDefault="0021796D" w:rsidP="0021796D">
      <w:pPr>
        <w:ind w:firstLine="567"/>
        <w:jc w:val="both"/>
      </w:pPr>
      <w:r w:rsidRPr="00E5617F">
        <w:t>МКУК «Каргасокская ЦРБ» в сумме 211 521 руб.;</w:t>
      </w:r>
    </w:p>
    <w:p w:rsidR="0021796D" w:rsidRPr="00E5617F" w:rsidRDefault="0021796D" w:rsidP="0021796D">
      <w:pPr>
        <w:ind w:firstLine="567"/>
        <w:jc w:val="both"/>
      </w:pPr>
      <w:r w:rsidRPr="00E5617F">
        <w:t>Администрация Киндальского сельского поселения в сумме 76 979 руб.;</w:t>
      </w:r>
    </w:p>
    <w:p w:rsidR="0021796D" w:rsidRPr="00E5617F" w:rsidRDefault="0021796D" w:rsidP="0021796D">
      <w:pPr>
        <w:ind w:firstLine="567"/>
        <w:jc w:val="both"/>
      </w:pPr>
      <w:r w:rsidRPr="00E5617F">
        <w:t>МКОУ «Киндальская НОШ» в сумме 73 371 руб. и т.д.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lastRenderedPageBreak/>
        <w:t>На 1 мая 2022 года остатки денежных средств (счета 50 и 51) равны нулю.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 xml:space="preserve">Остатки по субсчёту 10-03 «Топливо» на 01.05.2022 составляют </w:t>
      </w:r>
      <w:r w:rsidRPr="00E5617F">
        <w:rPr>
          <w:b/>
        </w:rPr>
        <w:t>3 452 024</w:t>
      </w:r>
      <w:r w:rsidRPr="00E5617F">
        <w:t xml:space="preserve"> руб., в том числе дизтопливо 2 176 049 руб., уголь 1 194 579 руб., дрова 73 840 руб.</w:t>
      </w:r>
    </w:p>
    <w:p w:rsidR="0021796D" w:rsidRPr="00E5617F" w:rsidRDefault="0021796D" w:rsidP="0021796D">
      <w:pPr>
        <w:ind w:firstLine="567"/>
        <w:jc w:val="both"/>
      </w:pPr>
    </w:p>
    <w:p w:rsidR="0021796D" w:rsidRPr="00E5617F" w:rsidRDefault="0021796D" w:rsidP="0021796D">
      <w:pPr>
        <w:ind w:firstLine="567"/>
        <w:jc w:val="both"/>
      </w:pPr>
      <w:r w:rsidRPr="00E5617F">
        <w:t>Во время проведения анализа, была начислена заработная плата за май 2022 года и компенсация за неиспользованный отпуск уволенным сезонным работникам. Сумма задолженности по заработной плате на 1 июня 2022 года составляет 760 292 руб.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320637">
        <w:rPr>
          <w:b/>
        </w:rPr>
        <w:t>О</w:t>
      </w:r>
      <w:r>
        <w:t>тделом жизнеобеспечения Администрации Каргасокского района была представлена следующая информация.</w:t>
      </w:r>
    </w:p>
    <w:p w:rsidR="0021796D" w:rsidRPr="00A4146C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убытков</w:t>
      </w:r>
      <w:r w:rsidRPr="00A4146C">
        <w:rPr>
          <w:rFonts w:ascii="Times New Roman" w:hAnsi="Times New Roman" w:cs="Times New Roman"/>
          <w:sz w:val="24"/>
          <w:szCs w:val="24"/>
        </w:rPr>
        <w:t xml:space="preserve"> предприятия показал, что за период 2017 год – 5 месяцев 2022 года при расчете тарифа на электроснабжение от дизельной электростанции в с. Наунак Департаментом тарифного регулирования Томской области производился расчет нормативного расхода дизельного топлива исходя из минимальной допустимой нагрузки дизельгенератора и составлял от 9,67 до 10,56 </w:t>
      </w:r>
      <w:proofErr w:type="spellStart"/>
      <w:r w:rsidRPr="00A4146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A4146C">
        <w:rPr>
          <w:rFonts w:ascii="Times New Roman" w:hAnsi="Times New Roman" w:cs="Times New Roman"/>
          <w:sz w:val="24"/>
          <w:szCs w:val="24"/>
        </w:rPr>
        <w:t xml:space="preserve"> в год.</w:t>
      </w:r>
      <w:proofErr w:type="gramEnd"/>
      <w:r w:rsidRPr="00A4146C">
        <w:rPr>
          <w:rFonts w:ascii="Times New Roman" w:hAnsi="Times New Roman" w:cs="Times New Roman"/>
          <w:sz w:val="24"/>
          <w:szCs w:val="24"/>
        </w:rPr>
        <w:t xml:space="preserve"> Фактический расход на протяжении этих лет складывался в 2 раза больше. Это связано с особенностью работы дизельгенератора в условиях малонаселенного населенного пункта с низким потреблением электроэнергии. Проанализировав нормативный и фактический расход топлива выявлены сверхнормативные затраты предприятия в размере 2 930 тыс. рублей. Подробно приведено в таблице.</w:t>
      </w:r>
    </w:p>
    <w:p w:rsidR="0021796D" w:rsidRPr="00A4146C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(тонны, 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146C">
        <w:rPr>
          <w:rFonts w:ascii="Times New Roman" w:hAnsi="Times New Roman" w:cs="Times New Roman"/>
          <w:sz w:val="24"/>
          <w:szCs w:val="24"/>
        </w:rPr>
        <w:t>бли)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730"/>
        <w:gridCol w:w="1347"/>
        <w:gridCol w:w="1479"/>
        <w:gridCol w:w="1256"/>
        <w:gridCol w:w="1701"/>
        <w:gridCol w:w="2126"/>
      </w:tblGrid>
      <w:tr w:rsidR="0021796D" w:rsidRPr="005A6A25" w:rsidTr="001665C4">
        <w:trPr>
          <w:trHeight w:val="31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Период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ДЭС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Отклонение</w:t>
            </w:r>
          </w:p>
        </w:tc>
      </w:tr>
      <w:tr w:rsidR="0021796D" w:rsidRPr="005A6A25" w:rsidTr="001665C4">
        <w:trPr>
          <w:trHeight w:val="31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6D" w:rsidRPr="005A6A25" w:rsidRDefault="0021796D" w:rsidP="001665C4">
            <w:pPr>
              <w:rPr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План по данным ДТР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Факт расхода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6D" w:rsidRPr="005A6A25" w:rsidRDefault="0021796D" w:rsidP="001665C4">
            <w:pPr>
              <w:rPr>
                <w:b/>
                <w:color w:val="000000"/>
              </w:rPr>
            </w:pP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6D" w:rsidRPr="00B05BCB" w:rsidRDefault="0021796D" w:rsidP="001665C4"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кол-во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сумма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сумма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План - факт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501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980,00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940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123,83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-438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143,83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10,56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531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050,00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18,227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103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752,36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-572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702,36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10,01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599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720,00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19,526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210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631,65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-610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911,65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9,96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642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440,00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19,806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088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413,61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-445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973,61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9,67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585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410,00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20,433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214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638,30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-629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228,3</w:t>
            </w:r>
            <w:r>
              <w:rPr>
                <w:color w:val="000000"/>
              </w:rPr>
              <w:t>0</w:t>
            </w:r>
          </w:p>
        </w:tc>
      </w:tr>
      <w:tr w:rsidR="0021796D" w:rsidRPr="00B05BCB" w:rsidTr="001665C4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5 мес. 2022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 w:rsidRPr="00B05BCB">
              <w:rPr>
                <w:color w:val="000000"/>
              </w:rPr>
              <w:t>4,27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</w:pPr>
            <w:r w:rsidRPr="00B05BCB">
              <w:t>257</w:t>
            </w:r>
            <w:r>
              <w:t xml:space="preserve"> </w:t>
            </w:r>
            <w:r w:rsidRPr="00B05BCB">
              <w:t>275,00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491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148,90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6D" w:rsidRPr="00B05BCB" w:rsidRDefault="0021796D" w:rsidP="001665C4">
            <w:pPr>
              <w:jc w:val="right"/>
              <w:rPr>
                <w:color w:val="000000"/>
              </w:rPr>
            </w:pPr>
            <w:r w:rsidRPr="00B05BCB">
              <w:rPr>
                <w:color w:val="000000"/>
              </w:rPr>
              <w:t>-233</w:t>
            </w:r>
            <w:r>
              <w:rPr>
                <w:color w:val="000000"/>
              </w:rPr>
              <w:t xml:space="preserve"> </w:t>
            </w:r>
            <w:r w:rsidRPr="00B05BCB">
              <w:rPr>
                <w:color w:val="000000"/>
              </w:rPr>
              <w:t>873,9</w:t>
            </w:r>
          </w:p>
        </w:tc>
      </w:tr>
      <w:tr w:rsidR="0021796D" w:rsidRPr="00B05BCB" w:rsidTr="001665C4">
        <w:trPr>
          <w:trHeight w:val="315"/>
        </w:trPr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B05BCB" w:rsidRDefault="0021796D" w:rsidP="001665C4">
            <w:pPr>
              <w:jc w:val="right"/>
              <w:rPr>
                <w:b/>
                <w:bCs/>
                <w:color w:val="000000"/>
              </w:rPr>
            </w:pPr>
            <w:r w:rsidRPr="00B05BCB">
              <w:rPr>
                <w:b/>
                <w:bCs/>
                <w:color w:val="000000"/>
              </w:rPr>
              <w:t>-2</w:t>
            </w:r>
            <w:r>
              <w:rPr>
                <w:b/>
                <w:bCs/>
                <w:color w:val="000000"/>
              </w:rPr>
              <w:t xml:space="preserve"> </w:t>
            </w:r>
            <w:r w:rsidRPr="00B05BCB">
              <w:rPr>
                <w:b/>
                <w:bCs/>
                <w:color w:val="000000"/>
              </w:rPr>
              <w:t>930</w:t>
            </w:r>
            <w:r>
              <w:rPr>
                <w:b/>
                <w:bCs/>
                <w:color w:val="000000"/>
              </w:rPr>
              <w:t xml:space="preserve"> </w:t>
            </w:r>
            <w:r w:rsidRPr="00B05BCB">
              <w:rPr>
                <w:b/>
                <w:bCs/>
                <w:color w:val="000000"/>
              </w:rPr>
              <w:t>833,65</w:t>
            </w:r>
          </w:p>
        </w:tc>
      </w:tr>
    </w:tbl>
    <w:p w:rsidR="0021796D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96D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Новоюгино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Губернаторской программе Чистая вода была установлена станция водоочистки. Затраты на работу станции с 2018 года по 2021 год были возмещены из средств районного бюджета в размере 96 913,2 рублей. Фактические затраты на электроснабжение станции составили 161 165,33 рублей. Таким образом, убытки МУП «ТепЭс»  по станции составили 64 252,13 рублей.</w:t>
      </w:r>
    </w:p>
    <w:p w:rsidR="0021796D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(рубли)</w:t>
      </w: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2693"/>
        <w:gridCol w:w="2268"/>
        <w:gridCol w:w="1843"/>
        <w:gridCol w:w="1843"/>
      </w:tblGrid>
      <w:tr w:rsidR="0021796D" w:rsidRPr="005A6A25" w:rsidTr="001665C4">
        <w:trPr>
          <w:trHeight w:val="31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Чистая вода</w:t>
            </w:r>
          </w:p>
        </w:tc>
      </w:tr>
      <w:tr w:rsidR="0021796D" w:rsidRPr="005A6A25" w:rsidTr="001665C4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Фактические затраты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Возмещение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5A6A25" w:rsidRDefault="0021796D" w:rsidP="001665C4">
            <w:pPr>
              <w:jc w:val="center"/>
              <w:rPr>
                <w:b/>
                <w:color w:val="000000"/>
              </w:rPr>
            </w:pPr>
            <w:r w:rsidRPr="005A6A25">
              <w:rPr>
                <w:b/>
                <w:color w:val="000000"/>
              </w:rPr>
              <w:t>Отклонение</w:t>
            </w:r>
          </w:p>
        </w:tc>
      </w:tr>
      <w:tr w:rsidR="0021796D" w:rsidRPr="002E0919" w:rsidTr="001665C4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center"/>
              <w:rPr>
                <w:color w:val="000000"/>
              </w:rPr>
            </w:pPr>
            <w:r w:rsidRPr="002E0919">
              <w:rPr>
                <w:color w:val="000000"/>
              </w:rPr>
              <w:t>2018-2019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283,55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913,2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629,65</w:t>
            </w:r>
          </w:p>
        </w:tc>
      </w:tr>
      <w:tr w:rsidR="0021796D" w:rsidRPr="002E0919" w:rsidTr="001665C4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center"/>
              <w:rPr>
                <w:color w:val="000000"/>
              </w:rPr>
            </w:pPr>
            <w:r w:rsidRPr="002E0919">
              <w:rPr>
                <w:color w:val="000000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63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112,22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-63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112,22</w:t>
            </w:r>
          </w:p>
        </w:tc>
      </w:tr>
      <w:tr w:rsidR="0021796D" w:rsidRPr="002E0919" w:rsidTr="001665C4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center"/>
              <w:rPr>
                <w:color w:val="000000"/>
              </w:rPr>
            </w:pPr>
            <w:r w:rsidRPr="002E0919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</w:pPr>
            <w:r w:rsidRPr="002E0919">
              <w:t>46</w:t>
            </w:r>
            <w:r>
              <w:t xml:space="preserve"> </w:t>
            </w:r>
            <w:r w:rsidRPr="002E0919">
              <w:t>769,56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2E0919">
              <w:rPr>
                <w:color w:val="000000"/>
              </w:rPr>
              <w:t>-1</w:t>
            </w:r>
            <w:r>
              <w:rPr>
                <w:color w:val="000000"/>
              </w:rPr>
              <w:t xml:space="preserve"> </w:t>
            </w:r>
            <w:r w:rsidRPr="002E0919">
              <w:rPr>
                <w:color w:val="000000"/>
              </w:rPr>
              <w:t>769,56</w:t>
            </w:r>
          </w:p>
        </w:tc>
      </w:tr>
      <w:tr w:rsidR="0021796D" w:rsidRPr="002E0919" w:rsidTr="001665C4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6D" w:rsidRPr="002E0919" w:rsidRDefault="0021796D" w:rsidP="001665C4">
            <w:pPr>
              <w:jc w:val="center"/>
              <w:rPr>
                <w:color w:val="000000"/>
              </w:rPr>
            </w:pPr>
            <w:r w:rsidRPr="005A6A25">
              <w:rPr>
                <w:b/>
                <w:color w:val="000000"/>
              </w:rPr>
              <w:t>Итого к возмещению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6D" w:rsidRPr="002E0919" w:rsidRDefault="0021796D" w:rsidP="001665C4">
            <w:pPr>
              <w:jc w:val="right"/>
            </w:pPr>
            <w:r w:rsidRPr="005A6A25">
              <w:rPr>
                <w:b/>
              </w:rPr>
              <w:t>161</w:t>
            </w:r>
            <w:r>
              <w:rPr>
                <w:b/>
              </w:rPr>
              <w:t xml:space="preserve"> </w:t>
            </w:r>
            <w:r w:rsidRPr="005A6A25">
              <w:rPr>
                <w:b/>
              </w:rPr>
              <w:t>165,33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5A6A25">
              <w:rPr>
                <w:b/>
              </w:rPr>
              <w:t>96</w:t>
            </w:r>
            <w:r>
              <w:rPr>
                <w:b/>
              </w:rPr>
              <w:t xml:space="preserve"> </w:t>
            </w:r>
            <w:r w:rsidRPr="005A6A25">
              <w:rPr>
                <w:b/>
              </w:rPr>
              <w:t>913,2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96D" w:rsidRPr="002E0919" w:rsidRDefault="0021796D" w:rsidP="001665C4">
            <w:pPr>
              <w:jc w:val="right"/>
              <w:rPr>
                <w:color w:val="000000"/>
              </w:rPr>
            </w:pPr>
            <w:r w:rsidRPr="005A6A25">
              <w:rPr>
                <w:b/>
              </w:rPr>
              <w:t>-64</w:t>
            </w:r>
            <w:r>
              <w:rPr>
                <w:b/>
              </w:rPr>
              <w:t xml:space="preserve"> </w:t>
            </w:r>
            <w:r w:rsidRPr="005A6A25">
              <w:rPr>
                <w:b/>
              </w:rPr>
              <w:t>252,13</w:t>
            </w:r>
          </w:p>
        </w:tc>
      </w:tr>
    </w:tbl>
    <w:p w:rsidR="0021796D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96D" w:rsidRDefault="0021796D" w:rsidP="002179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сверхнормативных затрат Предприятия по твердому топливу от предприятия не было получено достаточно материалов.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FC37E1">
        <w:rPr>
          <w:b/>
        </w:rPr>
        <w:t>Выводы</w:t>
      </w:r>
      <w:r>
        <w:t xml:space="preserve"> на основании анализа поступившей в Контрольный орган информации: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proofErr w:type="gramStart"/>
      <w:r>
        <w:t>Согласно Ходатайства</w:t>
      </w:r>
      <w:proofErr w:type="gramEnd"/>
      <w:r>
        <w:t xml:space="preserve"> директора МУПа «ТепЭс» вся кредиторская задолженность по состоянию на 1 мая 2022 года в размере </w:t>
      </w:r>
      <w:r w:rsidRPr="00FC37E1">
        <w:t>11,8</w:t>
      </w:r>
      <w:r>
        <w:t xml:space="preserve"> млн. руб. возникла по причине убытков, сложившихся от  сверхнормативных расходов. С 2017 года по планируемый 2022 год убытки составят 18 632,5 тыс. руб. Директор считает, что для восстановления нормальной работы Предприятия необходимо возместить Предприятию затраты в размере 11 млн. рублей. Размер приведённых в Ходатайстве убытков не подтверждается расчётами, и поэтому их невозможно проверить и оценить в полном объёме, как возникшие от произведённых сверхнормативных затрат.</w:t>
      </w:r>
    </w:p>
    <w:p w:rsidR="0021796D" w:rsidRDefault="0021796D" w:rsidP="0021796D">
      <w:pPr>
        <w:ind w:firstLine="567"/>
        <w:jc w:val="both"/>
      </w:pPr>
      <w:r>
        <w:t xml:space="preserve">Ходатайство, предоставленное Главе Новоюгинского сельского поселения, не было рассмотрено в июне на внеочередном заседании Совета Новоюгинского сельского поселения. Поэтому депутатами Совета Новоюгинского сельского поселения не были обсуждены: деятельность Администрации Новоюгинского сельского поселения, как </w:t>
      </w:r>
      <w:r w:rsidRPr="00CA2C54">
        <w:t>учредителя МУП «ТепЭс»</w:t>
      </w:r>
      <w:r>
        <w:t>;</w:t>
      </w:r>
      <w:r w:rsidRPr="00CA2C54">
        <w:t xml:space="preserve"> итоги работы</w:t>
      </w:r>
      <w:r w:rsidRPr="005A20A1">
        <w:t xml:space="preserve"> </w:t>
      </w:r>
      <w:r w:rsidRPr="00CA2C54">
        <w:t>МУП «ТепЭс» за 2021 год.</w:t>
      </w:r>
      <w:r>
        <w:t xml:space="preserve"> Не были приняты решения: о необходимости и размере оказания финансовой помощи </w:t>
      </w:r>
      <w:r w:rsidRPr="00CA2C54">
        <w:t>МУП</w:t>
      </w:r>
      <w:r>
        <w:t>у</w:t>
      </w:r>
      <w:r w:rsidRPr="00CA2C54">
        <w:t xml:space="preserve"> «ТепЭс»</w:t>
      </w:r>
      <w:r>
        <w:t>; по причине отсутствия бюджетных средств дать поручение Главе Новоюгинского сельского поселения обратится за оказанием помощи к Главе Каргасокского района.</w:t>
      </w:r>
    </w:p>
    <w:p w:rsidR="0021796D" w:rsidRDefault="0021796D" w:rsidP="0021796D">
      <w:pPr>
        <w:ind w:firstLine="567"/>
        <w:jc w:val="both"/>
      </w:pPr>
      <w:r>
        <w:t xml:space="preserve">Необходимо отметить, что Администрация Новоюгинского сельского поселения, как учредитель МУПа «ТепЭс», в нарушение Федерального закона  РФ </w:t>
      </w:r>
      <w:r w:rsidRPr="002F5BA5">
        <w:t>от 14.11.2002 № 161-ФЗ «О государственных и муници</w:t>
      </w:r>
      <w:r>
        <w:t>пальных унитарных предприятиях» не исполняло возложенных на неё полномочий, указанных в основной части анализа.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>
        <w:t xml:space="preserve">С 7 июня 2022 года в </w:t>
      </w:r>
      <w:proofErr w:type="spellStart"/>
      <w:r>
        <w:t>МУПе</w:t>
      </w:r>
      <w:proofErr w:type="spellEnd"/>
      <w:r>
        <w:t xml:space="preserve"> «ТепЭс» нет директора и сотрудников административно-управленческого персонала по причине их увольнения по собственному желанию. </w:t>
      </w:r>
    </w:p>
    <w:p w:rsidR="0021796D" w:rsidRDefault="0021796D" w:rsidP="0021796D">
      <w:pPr>
        <w:ind w:firstLine="567"/>
        <w:jc w:val="both"/>
      </w:pPr>
      <w:r>
        <w:t>Для принятия решения об оказании финансовой помощи Предприятию депутатам Думы Каргасокского района необходимо знать в деталях о принимаемых мерах по выводу МУПа «ТепЭс» из той непростой ситуации, в которой сейчас оно находится.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>
        <w:t xml:space="preserve">На основании анализа базы данных бухгалтерского учёта установлено, что по результатам работы МУПа «ТепЭс» в 2021 году был получен убыток в размере </w:t>
      </w:r>
      <w:r w:rsidRPr="0065033D">
        <w:t>4 667 897,73</w:t>
      </w:r>
      <w:r>
        <w:t xml:space="preserve"> руб., а за 4 месяца 2022 года он уже составил </w:t>
      </w:r>
      <w:r w:rsidRPr="0065033D">
        <w:t>1 665</w:t>
      </w:r>
      <w:r>
        <w:t> </w:t>
      </w:r>
      <w:r w:rsidRPr="0065033D">
        <w:t>816</w:t>
      </w:r>
      <w:r>
        <w:t xml:space="preserve"> рублей. По этой причине к</w:t>
      </w:r>
      <w:r w:rsidRPr="00E5617F">
        <w:t xml:space="preserve">редиторская задолженность на </w:t>
      </w:r>
      <w:r w:rsidRPr="00B51C62">
        <w:t>1 мая 2022 года</w:t>
      </w:r>
      <w:r w:rsidRPr="00E5617F">
        <w:t xml:space="preserve"> составляет </w:t>
      </w:r>
      <w:r w:rsidRPr="00B51C62">
        <w:t>13 323 037</w:t>
      </w:r>
      <w:r>
        <w:t xml:space="preserve">  рублей (в том числе полученные авансы </w:t>
      </w:r>
      <w:r w:rsidRPr="00857D42">
        <w:t>2 561</w:t>
      </w:r>
      <w:r>
        <w:t> </w:t>
      </w:r>
      <w:r w:rsidRPr="00857D42">
        <w:t>995</w:t>
      </w:r>
      <w:r>
        <w:t xml:space="preserve"> руб.). В разрезе кредиторов она представлена в основной части анализа. </w:t>
      </w:r>
      <w:r w:rsidRPr="00E5617F">
        <w:t>На 1 мая 2022 года на Предприятии имеется</w:t>
      </w:r>
      <w:r>
        <w:t xml:space="preserve"> и</w:t>
      </w:r>
      <w:r w:rsidRPr="00E5617F">
        <w:t xml:space="preserve"> дебиторская задолженность за услуги в сумме 1 280 665 руб., которая носит текущий характер</w:t>
      </w:r>
      <w:r>
        <w:t>.</w:t>
      </w:r>
    </w:p>
    <w:p w:rsidR="0021796D" w:rsidRPr="0065033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>
        <w:t xml:space="preserve">Отдел жизнеобеспечения Администрации Каргасокского района считает, обоснованно можно обсуждать только сверхнормативные затраты: в размере </w:t>
      </w:r>
      <w:r w:rsidRPr="00A4146C">
        <w:t>2</w:t>
      </w:r>
      <w:r>
        <w:t> </w:t>
      </w:r>
      <w:r w:rsidRPr="00A4146C">
        <w:t>930</w:t>
      </w:r>
      <w:r>
        <w:t xml:space="preserve"> 833,65 </w:t>
      </w:r>
      <w:r w:rsidRPr="00A4146C">
        <w:t xml:space="preserve"> руб</w:t>
      </w:r>
      <w:r>
        <w:t xml:space="preserve">., полученные от работы дизельной электростанции в селе Наунак; в размере </w:t>
      </w:r>
      <w:r w:rsidRPr="007E1B92">
        <w:t>64 252,13</w:t>
      </w:r>
      <w:r>
        <w:t xml:space="preserve"> руб., полученные от работы станции водоочистки. Для оценки сверхнормативных затрат Предприятия по твердому топливу от Предприятия не было получено достаточно материалов.</w:t>
      </w:r>
    </w:p>
    <w:p w:rsidR="0021796D" w:rsidRDefault="0021796D" w:rsidP="0021796D">
      <w:pPr>
        <w:ind w:firstLine="567"/>
        <w:jc w:val="both"/>
      </w:pPr>
    </w:p>
    <w:p w:rsidR="0021796D" w:rsidRDefault="0021796D" w:rsidP="0021796D">
      <w:pPr>
        <w:ind w:firstLine="567"/>
        <w:jc w:val="both"/>
      </w:pPr>
      <w:r w:rsidRPr="00C86AAD">
        <w:rPr>
          <w:b/>
        </w:rPr>
        <w:t>Предложения</w:t>
      </w:r>
      <w:r>
        <w:t>:</w:t>
      </w:r>
    </w:p>
    <w:p w:rsidR="0021796D" w:rsidRDefault="0021796D" w:rsidP="0021796D">
      <w:pPr>
        <w:ind w:firstLine="567"/>
        <w:jc w:val="both"/>
      </w:pPr>
      <w:r>
        <w:lastRenderedPageBreak/>
        <w:t xml:space="preserve">1. </w:t>
      </w:r>
      <w:proofErr w:type="gramStart"/>
      <w:r>
        <w:t>Для объективной оценки сложившейся на Предприятии критической финансовой ситуации и принятия решения о необходимости оказания финансовой помощи, и в каком размере, должен с докладом выступить Глава Новоюгинского сельского поселения, в котором всесторонне осветить деятельность МУПа «ТепЭс» с объяснением причин приведших к такому положению дел и планируемых мер по выходу из неё.</w:t>
      </w:r>
      <w:proofErr w:type="gramEnd"/>
      <w:r>
        <w:t xml:space="preserve"> Главе Новоюгинского сельского поселения необходимо объяснить, почему не было проведено заседание Совета поселения по этому вопросу. </w:t>
      </w:r>
    </w:p>
    <w:p w:rsidR="0021796D" w:rsidRDefault="0021796D" w:rsidP="0021796D">
      <w:pPr>
        <w:ind w:firstLine="567"/>
        <w:jc w:val="both"/>
      </w:pPr>
      <w:r>
        <w:t>2. Необходимо обсудить возможности бюджета муниципального образования «Каргасокский район» по оказанию финансовой помощи бюджету муниципального образования «Новоюгинское сельское поселение»;</w:t>
      </w:r>
    </w:p>
    <w:p w:rsidR="0021796D" w:rsidRDefault="0021796D" w:rsidP="0021796D">
      <w:pPr>
        <w:ind w:firstLine="567"/>
        <w:jc w:val="both"/>
      </w:pPr>
      <w:r>
        <w:t>3. Определить, в соответствии с Бюджетным кодексом, обоснованность предоставления бюджетных средств, предлагаемых к возмещению;</w:t>
      </w:r>
    </w:p>
    <w:p w:rsidR="0021796D" w:rsidRDefault="0021796D" w:rsidP="0021796D">
      <w:pPr>
        <w:ind w:firstLine="567"/>
        <w:jc w:val="both"/>
      </w:pPr>
      <w:r>
        <w:t>4. Решение о предоставлении помощи должно быть вынесено только  при подтверждении Главой Новоюгинского сельского поселения факта, о приёме лица на должность директора МУПа «ТепЭс» и согласовании с ним вопросов по организации и ведению бухгалтерского учёта.</w:t>
      </w:r>
    </w:p>
    <w:p w:rsidR="0021796D" w:rsidRDefault="0021796D" w:rsidP="0021796D">
      <w:pPr>
        <w:ind w:firstLine="567"/>
        <w:jc w:val="both"/>
      </w:pPr>
    </w:p>
    <w:p w:rsidR="00D259F7" w:rsidRDefault="007C7289" w:rsidP="00D259F7">
      <w:pPr>
        <w:ind w:firstLine="567"/>
        <w:jc w:val="both"/>
      </w:pPr>
      <w:r>
        <w:t>М</w:t>
      </w:r>
      <w:r w:rsidR="00D259F7">
        <w:t xml:space="preserve">атериалы анализа финансово-экономического состояния МУП «Теплоэнергоснаб»  предоставлены всем заинтересованным лицам: Главе Новоюгинского сельского поселения, Главе Каргасокского района, </w:t>
      </w:r>
      <w:bookmarkStart w:id="0" w:name="_GoBack"/>
      <w:bookmarkEnd w:id="0"/>
      <w:r w:rsidR="00D259F7">
        <w:t xml:space="preserve">Председателю Думы Каргасокского района, директору МУП «Теплоэнергоснаб». </w:t>
      </w:r>
    </w:p>
    <w:p w:rsidR="00D259F7" w:rsidRDefault="00D259F7" w:rsidP="00D259F7">
      <w:pPr>
        <w:ind w:firstLine="539"/>
        <w:jc w:val="both"/>
      </w:pPr>
    </w:p>
    <w:p w:rsidR="00D259F7" w:rsidRDefault="00D259F7" w:rsidP="00D259F7">
      <w:pPr>
        <w:ind w:firstLine="539"/>
        <w:jc w:val="both"/>
      </w:pPr>
    </w:p>
    <w:p w:rsidR="00D259F7" w:rsidRDefault="00D259F7" w:rsidP="00D259F7">
      <w:pPr>
        <w:ind w:firstLine="539"/>
        <w:jc w:val="both"/>
      </w:pPr>
    </w:p>
    <w:p w:rsidR="00D259F7" w:rsidRDefault="00D259F7" w:rsidP="00D259F7">
      <w:pPr>
        <w:ind w:firstLine="567"/>
        <w:jc w:val="both"/>
      </w:pPr>
    </w:p>
    <w:p w:rsidR="0021796D" w:rsidRDefault="00D259F7" w:rsidP="00D259F7">
      <w:pPr>
        <w:ind w:firstLine="567"/>
        <w:jc w:val="both"/>
      </w:pPr>
      <w:r w:rsidRPr="00AB6914">
        <w:t xml:space="preserve">Председатель ______________________ /Ю.А.Машковцев/   </w:t>
      </w:r>
    </w:p>
    <w:p w:rsidR="006F7F68" w:rsidRDefault="006F7F68"/>
    <w:sectPr w:rsidR="006F7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F7" w:rsidRDefault="00D259F7" w:rsidP="00D259F7">
      <w:r>
        <w:separator/>
      </w:r>
    </w:p>
  </w:endnote>
  <w:endnote w:type="continuationSeparator" w:id="0">
    <w:p w:rsidR="00D259F7" w:rsidRDefault="00D259F7" w:rsidP="00D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7" w:rsidRDefault="00D259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18309"/>
      <w:docPartObj>
        <w:docPartGallery w:val="Page Numbers (Bottom of Page)"/>
        <w:docPartUnique/>
      </w:docPartObj>
    </w:sdtPr>
    <w:sdtEndPr/>
    <w:sdtContent>
      <w:p w:rsidR="00D259F7" w:rsidRDefault="00D259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204">
          <w:rPr>
            <w:noProof/>
          </w:rPr>
          <w:t>1</w:t>
        </w:r>
        <w:r>
          <w:fldChar w:fldCharType="end"/>
        </w:r>
      </w:p>
    </w:sdtContent>
  </w:sdt>
  <w:p w:rsidR="00D259F7" w:rsidRDefault="00D259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7" w:rsidRDefault="00D259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F7" w:rsidRDefault="00D259F7" w:rsidP="00D259F7">
      <w:r>
        <w:separator/>
      </w:r>
    </w:p>
  </w:footnote>
  <w:footnote w:type="continuationSeparator" w:id="0">
    <w:p w:rsidR="00D259F7" w:rsidRDefault="00D259F7" w:rsidP="00D2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7" w:rsidRDefault="00D259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7" w:rsidRDefault="00D259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7" w:rsidRDefault="00D259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FC"/>
    <w:rsid w:val="0008157B"/>
    <w:rsid w:val="00154AC0"/>
    <w:rsid w:val="001837A3"/>
    <w:rsid w:val="0021796D"/>
    <w:rsid w:val="00401204"/>
    <w:rsid w:val="00500D88"/>
    <w:rsid w:val="00503AF5"/>
    <w:rsid w:val="005F79EF"/>
    <w:rsid w:val="006F7F68"/>
    <w:rsid w:val="007C7289"/>
    <w:rsid w:val="0084159E"/>
    <w:rsid w:val="00A055B0"/>
    <w:rsid w:val="00C43D6F"/>
    <w:rsid w:val="00D259F7"/>
    <w:rsid w:val="00F37B14"/>
    <w:rsid w:val="00F51C08"/>
    <w:rsid w:val="00FC3553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1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5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5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9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1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5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5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9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2022-11-09T08:42:00Z</dcterms:created>
  <dcterms:modified xsi:type="dcterms:W3CDTF">2022-11-14T03:10:00Z</dcterms:modified>
</cp:coreProperties>
</file>