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2874" w:rsidRPr="002327E8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</w:t>
            </w:r>
            <w:r w:rsidR="004E2874" w:rsidRPr="002327E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      </w:r>
          </w:p>
          <w:p w:rsidR="00AB5032" w:rsidRPr="002327E8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2327E8" w:rsidRDefault="00AB5032" w:rsidP="004A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прилагается внести изменения в постановление Администрации Каргасокского района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от 18.11.2020 № 237 </w:t>
            </w:r>
            <w:r w:rsidR="004A0020"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приведения в соответствие с постановлением Правительства Российской Федерации 18.09.2020 № 1492 «</w:t>
            </w:r>
            <w:r w:rsidR="004A0020" w:rsidRPr="0023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4A0020" w:rsidRPr="002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4A0020" w:rsidRPr="002327E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2327E8" w:rsidRDefault="004A0020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потребительскому рынку и развитию предпринимательства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2327E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2327E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E7062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</w:t>
            </w: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73724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062" w:rsidRPr="00DE706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280389" w:rsidRPr="002327E8" w:rsidRDefault="0026648E" w:rsidP="0098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80389"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отнесения проекта </w:t>
            </w:r>
            <w:r w:rsidR="00280389" w:rsidRPr="002327E8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к определенной степени регулирующего воздействия:</w:t>
            </w:r>
            <w:r w:rsidR="00280389" w:rsidRPr="0023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648E" w:rsidRPr="002327E8" w:rsidRDefault="00552706" w:rsidP="006A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разработан в целях приведения </w:t>
            </w:r>
            <w:r w:rsidR="00DE7062" w:rsidRPr="00D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постановлением Правительства Российской Федерации 18.09.2020 № 1492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2327E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B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E" w:rsidRDefault="005941BE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4.1. Описание проблемы,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6A50C7" w:rsidRDefault="006A50C7" w:rsidP="0059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старте малый бизнес является очень уязвимым, так как при мониторинге рынка, поставщиков и т.д. требуется начальный капитал. Банки при отсутствии постоянного дохода, не охотно предоставляют кредит, а если кредиты предоставляются, то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процентная ставка высокая от 20% и выше,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отрицательно 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влияет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коммерческ</w:t>
            </w:r>
            <w:r w:rsidR="00525AE5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1BE" w:rsidRPr="002327E8" w:rsidRDefault="006A50C7" w:rsidP="00926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принятие проекта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улучшить финансово-экономическую составляющую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591547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91547">
              <w:rPr>
                <w:rFonts w:ascii="Times New Roman" w:hAnsi="Times New Roman" w:cs="Times New Roman"/>
                <w:sz w:val="24"/>
                <w:szCs w:val="24"/>
              </w:rPr>
              <w:t>.2. Оценка негативных эффектов, возникающих в связи с наличием рассматриваемой проблемы:</w:t>
            </w:r>
            <w:r w:rsidR="00672B7E" w:rsidRPr="0059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2327E8" w:rsidRDefault="00AE4C1C" w:rsidP="00C1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негативным эффектом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являются проблемы такие</w:t>
            </w:r>
            <w:r w:rsidR="00031E37"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C1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E37">
              <w:rPr>
                <w:rFonts w:ascii="Times New Roman" w:hAnsi="Times New Roman" w:cs="Times New Roman"/>
                <w:sz w:val="24"/>
                <w:szCs w:val="24"/>
              </w:rPr>
              <w:t xml:space="preserve"> теневая экономика, нелегальная занятость, негативное отношение к власти при наличии нелега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льной коммерческой деятельности со стороны населения.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2327E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31E37" w:rsidP="0062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оказать финансовую поддержку стартующему бизнесу, позволит решить некоторые проблемы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с занятостью граждан, а так же положительно повлияет на развитие </w:t>
            </w:r>
            <w:r w:rsidR="006210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от 18.11.2020 № 237;</w:t>
            </w:r>
            <w:r w:rsidR="00672B7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18.09.2020 № 1492.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2327E8" w:rsidRDefault="005A011A" w:rsidP="003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район»</w:t>
            </w:r>
            <w:r w:rsidR="00EC217A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занимающиеся производством хлеба 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и мучных изделий, </w:t>
            </w:r>
            <w:r w:rsidR="00EC217A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включенные в Е</w:t>
            </w:r>
            <w:r w:rsidR="00A83ABE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диный реестр субъектов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2327E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2327E8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9E64F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2327E8" w:rsidRDefault="003553CA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9E64F5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не менее -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ед., из них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4B579D" w:rsidRPr="002327E8">
              <w:rPr>
                <w:rFonts w:ascii="Times New Roman" w:hAnsi="Times New Roman" w:cs="Times New Roman"/>
                <w:sz w:val="24"/>
                <w:szCs w:val="24"/>
              </w:rPr>
              <w:t>е предприниматели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- 2 ед.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2327E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2327E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667" w:rsidRPr="002327E8" w:rsidRDefault="00374667" w:rsidP="003746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внести следующие изменения: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Общие положения о предоставлении субсидии;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уточняются </w:t>
            </w:r>
            <w:r w:rsidR="002327E8" w:rsidRPr="002327E8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дополняется способ размещения объявления «Электронный бюджет»;</w:t>
            </w:r>
          </w:p>
          <w:p w:rsidR="00374667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уточняется перечень документов;</w:t>
            </w:r>
          </w:p>
          <w:p w:rsidR="00591547" w:rsidRPr="002327E8" w:rsidRDefault="0059154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уточняются стоимостные критерии;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уточняются показатели, необходимые для достижения результатов предоставления субсидии;</w:t>
            </w:r>
          </w:p>
          <w:p w:rsidR="00374667" w:rsidRPr="002327E8" w:rsidRDefault="002327E8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уточняются требования об осуществлении контроля (мониторинга) за соблюдением условий, целей и порядка предоставления субсидий и ответственность за их нарушение</w:t>
            </w:r>
            <w:r w:rsidR="00374667" w:rsidRPr="00232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667" w:rsidRPr="002327E8" w:rsidRDefault="00374667" w:rsidP="00374667">
            <w:pPr>
              <w:pStyle w:val="a9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уточняется форма Приложения 1.</w:t>
            </w:r>
          </w:p>
          <w:p w:rsidR="0079400A" w:rsidRPr="002327E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7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="00C32163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C17051" w:rsidRPr="002327E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менее </w:t>
            </w:r>
            <w:r w:rsidR="00AC6E2B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C1705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очередь:</w:t>
            </w:r>
          </w:p>
          <w:p w:rsidR="00C17051" w:rsidRPr="002327E8" w:rsidRDefault="00C1705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C17051" w:rsidRPr="002327E8" w:rsidRDefault="00C17051" w:rsidP="00C1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3C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Каргасокского района, улучшение отраслевой структуры экономики, популяризация предпринимательской деятельности;</w:t>
            </w:r>
          </w:p>
          <w:p w:rsidR="00046501" w:rsidRPr="002327E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2327E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9E64F5" w:rsidRPr="002327E8" w:rsidRDefault="009E64F5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предоставления субсидии является финансовое обеспечение затрат, возникающих при реализации стартующего предпринимательского проекта.</w:t>
            </w:r>
          </w:p>
          <w:p w:rsidR="006E4EA1" w:rsidRPr="002327E8" w:rsidRDefault="006E4EA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СМП </w:t>
            </w:r>
            <w:r w:rsidR="007B43D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предоставляемого в срок до 15 января, следующего за годом предоставления субсидии. </w:t>
            </w:r>
            <w:r w:rsidRPr="002327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54274" w:rsidRPr="002327E8" w:rsidRDefault="009263CA" w:rsidP="009E6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Контрольные мероприятия могут быть проведены только в части мониторинга ведения коммерческой деятельности и наличию созданных рабочих мест.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2327E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2327E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2327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2327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2327E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5622FB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2327E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2327E8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2327E8" w:rsidRDefault="004854AD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2327E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2327E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2327E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854AD" w:rsidRPr="002327E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5764BC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  <w:r w:rsidR="00CB4B45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2327E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B4B45" w:rsidRPr="002327E8" w:rsidRDefault="00CB4B45" w:rsidP="0057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МБ-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2327E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622F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A1" w:rsidRPr="002327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41BE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2327E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2327E8" w:rsidRDefault="00525AE5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1F4F" w:rsidRPr="002327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64BC" w:rsidRPr="0023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Pr="002327E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E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2327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6648E" w:rsidRPr="002327E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26648E" w:rsidRPr="002327E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7E8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 </w:t>
      </w:r>
      <w:r w:rsidR="00863ABC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2327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 w:rsidRPr="002327E8">
        <w:rPr>
          <w:rFonts w:ascii="Times New Roman" w:hAnsi="Times New Roman" w:cs="Times New Roman"/>
          <w:sz w:val="24"/>
          <w:szCs w:val="24"/>
        </w:rPr>
        <w:t xml:space="preserve">        </w:t>
      </w:r>
      <w:r w:rsidR="005764BC" w:rsidRPr="002327E8">
        <w:rPr>
          <w:rFonts w:ascii="Times New Roman" w:hAnsi="Times New Roman" w:cs="Times New Roman"/>
          <w:sz w:val="24"/>
          <w:szCs w:val="24"/>
          <w:u w:val="single"/>
        </w:rPr>
        <w:t>27.04.2022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0C40D8" w:rsidRDefault="000C40D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lastRenderedPageBreak/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30761D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544AD5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CE7FCB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265B75" w:rsidRDefault="000C40D8" w:rsidP="00265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проекта нормативного правового акта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265B75">
        <w:rPr>
          <w:rFonts w:ascii="Times New Roman" w:hAnsi="Times New Roman" w:cs="Times New Roman"/>
          <w:sz w:val="24"/>
          <w:szCs w:val="24"/>
        </w:rPr>
        <w:t>«</w:t>
      </w:r>
      <w:r w:rsidR="00265B75" w:rsidRPr="004E287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проекта «Первый шаг»</w:t>
      </w:r>
      <w:r w:rsidR="00265B75">
        <w:rPr>
          <w:rFonts w:ascii="Times New Roman" w:hAnsi="Times New Roman" w:cs="Times New Roman"/>
          <w:sz w:val="24"/>
          <w:szCs w:val="24"/>
        </w:rPr>
        <w:t>.</w:t>
      </w:r>
    </w:p>
    <w:p w:rsidR="00265B75" w:rsidRDefault="00265B75" w:rsidP="000C40D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24.03.2022</w:t>
      </w: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265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20.04.2022</w:t>
      </w:r>
    </w:p>
    <w:p w:rsidR="000C40D8" w:rsidRPr="000C40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506DDD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0C40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506DDD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506DDD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506DDD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506DDD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993210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8443BC" w:rsidRP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3ABC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B75">
        <w:rPr>
          <w:rFonts w:ascii="Times New Roman" w:hAnsi="Times New Roman" w:cs="Times New Roman"/>
          <w:sz w:val="24"/>
          <w:szCs w:val="24"/>
          <w:u w:val="single"/>
        </w:rPr>
        <w:t>27.04.2022</w:t>
      </w:r>
    </w:p>
    <w:p w:rsidR="008443BC" w:rsidRP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(Ф.И.О.)                                              (дата)</w:t>
      </w:r>
    </w:p>
    <w:p w:rsidR="000C40D8" w:rsidRPr="00993210" w:rsidRDefault="000C40D8" w:rsidP="000C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56E" w:rsidRPr="0026648E" w:rsidRDefault="00DD656E">
      <w:pPr>
        <w:rPr>
          <w:rFonts w:ascii="Times New Roman" w:hAnsi="Times New Roman" w:cs="Times New Roman"/>
          <w:sz w:val="24"/>
          <w:szCs w:val="24"/>
        </w:rPr>
      </w:pPr>
    </w:p>
    <w:sectPr w:rsidR="00DD656E" w:rsidRPr="0026648E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468"/>
    <w:multiLevelType w:val="hybridMultilevel"/>
    <w:tmpl w:val="33A6E714"/>
    <w:lvl w:ilvl="0" w:tplc="374CB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1E37"/>
    <w:rsid w:val="00046501"/>
    <w:rsid w:val="00085109"/>
    <w:rsid w:val="00094DEB"/>
    <w:rsid w:val="000C40D8"/>
    <w:rsid w:val="000D1923"/>
    <w:rsid w:val="000E0E44"/>
    <w:rsid w:val="001234D3"/>
    <w:rsid w:val="00140CC9"/>
    <w:rsid w:val="001552A5"/>
    <w:rsid w:val="00186FED"/>
    <w:rsid w:val="001B040A"/>
    <w:rsid w:val="001D5C21"/>
    <w:rsid w:val="001E7CA8"/>
    <w:rsid w:val="001F2F6F"/>
    <w:rsid w:val="002327E8"/>
    <w:rsid w:val="00250AC8"/>
    <w:rsid w:val="00265B75"/>
    <w:rsid w:val="0026648E"/>
    <w:rsid w:val="00280389"/>
    <w:rsid w:val="00296015"/>
    <w:rsid w:val="002E4C86"/>
    <w:rsid w:val="00304335"/>
    <w:rsid w:val="00331273"/>
    <w:rsid w:val="003553CA"/>
    <w:rsid w:val="003674CF"/>
    <w:rsid w:val="00374667"/>
    <w:rsid w:val="003A4AE8"/>
    <w:rsid w:val="003B257C"/>
    <w:rsid w:val="003B68A8"/>
    <w:rsid w:val="00404DC5"/>
    <w:rsid w:val="00415E3B"/>
    <w:rsid w:val="00430008"/>
    <w:rsid w:val="00436365"/>
    <w:rsid w:val="00473724"/>
    <w:rsid w:val="004854AD"/>
    <w:rsid w:val="0049351F"/>
    <w:rsid w:val="004937A9"/>
    <w:rsid w:val="004A0020"/>
    <w:rsid w:val="004B32A6"/>
    <w:rsid w:val="004B579D"/>
    <w:rsid w:val="004E2874"/>
    <w:rsid w:val="00506DDD"/>
    <w:rsid w:val="00525AE5"/>
    <w:rsid w:val="005453BD"/>
    <w:rsid w:val="00552706"/>
    <w:rsid w:val="005622FB"/>
    <w:rsid w:val="005764BC"/>
    <w:rsid w:val="00591547"/>
    <w:rsid w:val="005941BE"/>
    <w:rsid w:val="005A011A"/>
    <w:rsid w:val="005A1578"/>
    <w:rsid w:val="005C170D"/>
    <w:rsid w:val="005C224A"/>
    <w:rsid w:val="005C6CFD"/>
    <w:rsid w:val="00621090"/>
    <w:rsid w:val="006328C1"/>
    <w:rsid w:val="00652ADB"/>
    <w:rsid w:val="006673C4"/>
    <w:rsid w:val="00672B7E"/>
    <w:rsid w:val="00677435"/>
    <w:rsid w:val="006A50C7"/>
    <w:rsid w:val="006A6D9C"/>
    <w:rsid w:val="006B506D"/>
    <w:rsid w:val="006B697E"/>
    <w:rsid w:val="006C2006"/>
    <w:rsid w:val="006C77B5"/>
    <w:rsid w:val="006E4EA1"/>
    <w:rsid w:val="00705590"/>
    <w:rsid w:val="007819AC"/>
    <w:rsid w:val="0079400A"/>
    <w:rsid w:val="007A2EE4"/>
    <w:rsid w:val="007A32D5"/>
    <w:rsid w:val="007B43D1"/>
    <w:rsid w:val="007C07EE"/>
    <w:rsid w:val="007C32E6"/>
    <w:rsid w:val="007F3057"/>
    <w:rsid w:val="00804642"/>
    <w:rsid w:val="00821C54"/>
    <w:rsid w:val="00831AEF"/>
    <w:rsid w:val="008354EE"/>
    <w:rsid w:val="00843028"/>
    <w:rsid w:val="008443BC"/>
    <w:rsid w:val="00863ABC"/>
    <w:rsid w:val="008659A0"/>
    <w:rsid w:val="0088537B"/>
    <w:rsid w:val="008C45F6"/>
    <w:rsid w:val="00902B51"/>
    <w:rsid w:val="00904744"/>
    <w:rsid w:val="009263CA"/>
    <w:rsid w:val="00935652"/>
    <w:rsid w:val="0094280C"/>
    <w:rsid w:val="00954274"/>
    <w:rsid w:val="00962283"/>
    <w:rsid w:val="0098103A"/>
    <w:rsid w:val="00996747"/>
    <w:rsid w:val="009A2D40"/>
    <w:rsid w:val="009B6319"/>
    <w:rsid w:val="009D7196"/>
    <w:rsid w:val="009E64F5"/>
    <w:rsid w:val="00A40268"/>
    <w:rsid w:val="00A51404"/>
    <w:rsid w:val="00A64AF9"/>
    <w:rsid w:val="00A83ABE"/>
    <w:rsid w:val="00AA08F2"/>
    <w:rsid w:val="00AB5032"/>
    <w:rsid w:val="00AC236B"/>
    <w:rsid w:val="00AC33E4"/>
    <w:rsid w:val="00AC6E2B"/>
    <w:rsid w:val="00AE4C1C"/>
    <w:rsid w:val="00AE5468"/>
    <w:rsid w:val="00AF1F4F"/>
    <w:rsid w:val="00B23C2A"/>
    <w:rsid w:val="00BC7D8B"/>
    <w:rsid w:val="00C10C21"/>
    <w:rsid w:val="00C17051"/>
    <w:rsid w:val="00C2694C"/>
    <w:rsid w:val="00C32163"/>
    <w:rsid w:val="00C619DC"/>
    <w:rsid w:val="00CB4B45"/>
    <w:rsid w:val="00CD4529"/>
    <w:rsid w:val="00CF05BA"/>
    <w:rsid w:val="00CF1A05"/>
    <w:rsid w:val="00CF2407"/>
    <w:rsid w:val="00D66CB3"/>
    <w:rsid w:val="00DD656E"/>
    <w:rsid w:val="00DE6F42"/>
    <w:rsid w:val="00DE7062"/>
    <w:rsid w:val="00E55386"/>
    <w:rsid w:val="00E90697"/>
    <w:rsid w:val="00EC217A"/>
    <w:rsid w:val="00EF2E4B"/>
    <w:rsid w:val="00F53DA1"/>
    <w:rsid w:val="00F73FB2"/>
    <w:rsid w:val="00F74C58"/>
    <w:rsid w:val="00FB01D6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C3F6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styleId="a8">
    <w:name w:val="Strong"/>
    <w:qFormat/>
    <w:rsid w:val="00FB01D6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uiPriority w:val="99"/>
    <w:rsid w:val="00265B75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746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rgasok.ru/content/tekuschie_proced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D2A0-0DAF-42DC-B9A1-6C09D7E2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52</cp:revision>
  <cp:lastPrinted>2022-04-28T07:40:00Z</cp:lastPrinted>
  <dcterms:created xsi:type="dcterms:W3CDTF">2022-04-26T01:56:00Z</dcterms:created>
  <dcterms:modified xsi:type="dcterms:W3CDTF">2022-04-28T07:42:00Z</dcterms:modified>
</cp:coreProperties>
</file>