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1F" w:rsidRDefault="00D36C1F" w:rsidP="00D36C1F">
      <w:pPr>
        <w:ind w:firstLine="567"/>
        <w:jc w:val="center"/>
      </w:pPr>
      <w:r>
        <w:t>Орган муниципального финансового контроля</w:t>
      </w:r>
    </w:p>
    <w:p w:rsidR="00D36C1F" w:rsidRDefault="00D36C1F" w:rsidP="00D36C1F">
      <w:pPr>
        <w:ind w:firstLine="567"/>
        <w:jc w:val="center"/>
      </w:pPr>
      <w:r>
        <w:t>Каргасокского района</w:t>
      </w:r>
    </w:p>
    <w:p w:rsidR="00D36C1F" w:rsidRDefault="00D36C1F" w:rsidP="00D36C1F">
      <w:pPr>
        <w:ind w:firstLine="567"/>
        <w:jc w:val="both"/>
      </w:pPr>
    </w:p>
    <w:p w:rsidR="00D36C1F" w:rsidRDefault="00D36C1F" w:rsidP="00D36C1F">
      <w:pPr>
        <w:ind w:firstLine="567"/>
        <w:jc w:val="both"/>
      </w:pPr>
      <w:r>
        <w:t>с. Каргасок                                                                                               15</w:t>
      </w:r>
      <w:r w:rsidRPr="000424EB">
        <w:t>.</w:t>
      </w:r>
      <w:r>
        <w:t>1</w:t>
      </w:r>
      <w:r w:rsidR="00D13CE4">
        <w:t>2</w:t>
      </w:r>
      <w:r>
        <w:t>.2022</w:t>
      </w:r>
    </w:p>
    <w:p w:rsidR="00D36C1F" w:rsidRDefault="00D36C1F" w:rsidP="00D36C1F">
      <w:pPr>
        <w:ind w:firstLine="567"/>
      </w:pPr>
    </w:p>
    <w:tbl>
      <w:tblPr>
        <w:tblW w:w="9402" w:type="dxa"/>
        <w:tblLook w:val="01E0" w:firstRow="1" w:lastRow="1" w:firstColumn="1" w:lastColumn="1" w:noHBand="0" w:noVBand="0"/>
      </w:tblPr>
      <w:tblGrid>
        <w:gridCol w:w="6363"/>
        <w:gridCol w:w="3039"/>
      </w:tblGrid>
      <w:tr w:rsidR="00D36C1F" w:rsidTr="000E0DE3">
        <w:tc>
          <w:tcPr>
            <w:tcW w:w="6363" w:type="dxa"/>
            <w:hideMark/>
          </w:tcPr>
          <w:p w:rsidR="00D36C1F" w:rsidRDefault="00D36C1F" w:rsidP="00D36C1F">
            <w:pPr>
              <w:spacing w:line="276" w:lineRule="auto"/>
              <w:rPr>
                <w:b/>
                <w:lang w:eastAsia="en-US"/>
              </w:rPr>
            </w:pPr>
            <w:r>
              <w:rPr>
                <w:b/>
                <w:lang w:eastAsia="en-US"/>
              </w:rPr>
              <w:t>Информация об экспертно-аналитических мероприятиях № 11.</w:t>
            </w:r>
          </w:p>
        </w:tc>
        <w:tc>
          <w:tcPr>
            <w:tcW w:w="3039" w:type="dxa"/>
          </w:tcPr>
          <w:p w:rsidR="00D36C1F" w:rsidRDefault="00D36C1F" w:rsidP="000E0DE3">
            <w:pPr>
              <w:spacing w:line="276" w:lineRule="auto"/>
              <w:ind w:firstLine="567"/>
              <w:rPr>
                <w:lang w:eastAsia="en-US"/>
              </w:rPr>
            </w:pPr>
          </w:p>
        </w:tc>
      </w:tr>
    </w:tbl>
    <w:p w:rsidR="00D36C1F" w:rsidRDefault="00D36C1F" w:rsidP="00D36C1F">
      <w:pPr>
        <w:ind w:firstLine="567"/>
        <w:jc w:val="both"/>
      </w:pPr>
    </w:p>
    <w:p w:rsidR="00D36C1F" w:rsidRDefault="00D36C1F" w:rsidP="00D36C1F">
      <w:pPr>
        <w:jc w:val="center"/>
      </w:pPr>
      <w:r w:rsidRPr="006C20EE">
        <w:rPr>
          <w:rFonts w:eastAsiaTheme="minorHAnsi"/>
          <w:bCs/>
          <w:szCs w:val="28"/>
          <w:lang w:eastAsia="en-US"/>
        </w:rPr>
        <w:t>Дополнительная информация</w:t>
      </w:r>
      <w:r>
        <w:t xml:space="preserve"> к</w:t>
      </w:r>
      <w:r w:rsidRPr="006C20EE">
        <w:t xml:space="preserve"> </w:t>
      </w:r>
      <w:r>
        <w:t>Аналитической записке</w:t>
      </w:r>
    </w:p>
    <w:p w:rsidR="00D36C1F" w:rsidRDefault="00D36C1F" w:rsidP="00D36C1F">
      <w:pPr>
        <w:jc w:val="center"/>
      </w:pPr>
      <w:r>
        <w:t xml:space="preserve">от 31.10.2022 № 5 по </w:t>
      </w:r>
      <w:r w:rsidRPr="00FB4788">
        <w:t xml:space="preserve">анализу и оценке </w:t>
      </w:r>
      <w:proofErr w:type="gramStart"/>
      <w:r w:rsidRPr="00FB4788">
        <w:t>финансово-экономического</w:t>
      </w:r>
      <w:proofErr w:type="gramEnd"/>
    </w:p>
    <w:p w:rsidR="00D36C1F" w:rsidRDefault="00D36C1F" w:rsidP="00D36C1F">
      <w:pPr>
        <w:jc w:val="center"/>
      </w:pPr>
      <w:r w:rsidRPr="00FB4788">
        <w:t xml:space="preserve">состояния </w:t>
      </w:r>
      <w:r>
        <w:t xml:space="preserve">МУП «ЖКХ </w:t>
      </w:r>
      <w:proofErr w:type="gramStart"/>
      <w:r>
        <w:t>Молодёжный</w:t>
      </w:r>
      <w:proofErr w:type="gramEnd"/>
      <w:r>
        <w:t>»</w:t>
      </w:r>
      <w:r w:rsidRPr="00FB4788">
        <w:t xml:space="preserve"> </w:t>
      </w:r>
      <w:r>
        <w:t>в</w:t>
      </w:r>
      <w:r w:rsidRPr="00527367">
        <w:t xml:space="preserve"> 202</w:t>
      </w:r>
      <w:r>
        <w:t>1</w:t>
      </w:r>
      <w:r w:rsidRPr="00527367">
        <w:t xml:space="preserve"> год</w:t>
      </w:r>
      <w:r>
        <w:t>у</w:t>
      </w:r>
      <w:r w:rsidRPr="00527367">
        <w:t xml:space="preserve"> и 1 полугоди</w:t>
      </w:r>
      <w:r>
        <w:t>е</w:t>
      </w:r>
      <w:r w:rsidRPr="00527367">
        <w:t xml:space="preserve"> 202</w:t>
      </w:r>
      <w:r>
        <w:t>2</w:t>
      </w:r>
      <w:r w:rsidRPr="00527367">
        <w:t xml:space="preserve"> года.</w:t>
      </w:r>
    </w:p>
    <w:p w:rsidR="00D36C1F" w:rsidRDefault="00D36C1F" w:rsidP="00D36C1F">
      <w:pPr>
        <w:jc w:val="center"/>
      </w:pPr>
      <w:r>
        <w:t>(в редакции от 14 декабря 2022 года)</w:t>
      </w:r>
    </w:p>
    <w:p w:rsidR="00D36C1F" w:rsidRDefault="00D36C1F" w:rsidP="00D36C1F">
      <w:pPr>
        <w:jc w:val="center"/>
      </w:pPr>
    </w:p>
    <w:p w:rsidR="00D36C1F" w:rsidRDefault="00D36C1F" w:rsidP="00D36C1F">
      <w:pPr>
        <w:jc w:val="center"/>
      </w:pPr>
    </w:p>
    <w:p w:rsidR="00D36C1F" w:rsidRDefault="00D36C1F" w:rsidP="00D36C1F">
      <w:pPr>
        <w:jc w:val="both"/>
      </w:pPr>
      <w:r>
        <w:t xml:space="preserve">    с. Каргасок                                                                                                             21.11.2022</w:t>
      </w:r>
    </w:p>
    <w:p w:rsidR="00D36C1F" w:rsidRDefault="00D36C1F" w:rsidP="00D36C1F">
      <w:pPr>
        <w:jc w:val="center"/>
      </w:pPr>
    </w:p>
    <w:p w:rsidR="00D36C1F" w:rsidRDefault="00D36C1F" w:rsidP="00D36C1F">
      <w:pPr>
        <w:ind w:firstLine="567"/>
        <w:jc w:val="both"/>
      </w:pPr>
      <w:r>
        <w:t>По результатам проведённого 14 ноября 2022 года Главой Каргасокского района совещания по обсуждению Аналитической записки от 31.10.2022 № 5 в присутствии Главы Среднетымского сельского поселения, работников предприятия МУП «ЖКХ Молодёжный», сотрудников Отдела жизнеобеспечения Администрации Каргасокского района и Контрольного органа</w:t>
      </w:r>
      <w:r w:rsidRPr="00361245">
        <w:t xml:space="preserve"> </w:t>
      </w:r>
      <w:r>
        <w:t>Каргасокского района было принято решение дать поручение экономисту предприятия МУП «ЖКХ Молодёжный» предоставить аналитический материал по обсуждённым на совещании темам.</w:t>
      </w:r>
    </w:p>
    <w:p w:rsidR="00D36C1F" w:rsidRDefault="00D36C1F" w:rsidP="00D36C1F">
      <w:pPr>
        <w:ind w:firstLine="567"/>
        <w:jc w:val="both"/>
      </w:pPr>
    </w:p>
    <w:p w:rsidR="00D36C1F" w:rsidRDefault="00D36C1F" w:rsidP="00D36C1F">
      <w:pPr>
        <w:ind w:firstLine="567"/>
        <w:jc w:val="both"/>
      </w:pPr>
      <w:r>
        <w:t xml:space="preserve">В Контрольный орган 17 ноября 2022 года от предприятия МУП «ЖКХ Молодёжный» (за подписью директора) поступила </w:t>
      </w:r>
      <w:r w:rsidRPr="00F84DB3">
        <w:rPr>
          <w:szCs w:val="28"/>
        </w:rPr>
        <w:t>Информация о финансовом состоянии и о сверхнормативных расходах, не вошедших в тарифы по предприятию МУП «ЖКХ Молодежный» за период с 2020 года по 2022год</w:t>
      </w:r>
      <w:r>
        <w:rPr>
          <w:szCs w:val="28"/>
        </w:rPr>
        <w:t>.</w:t>
      </w:r>
    </w:p>
    <w:p w:rsidR="00D36C1F" w:rsidRDefault="00D36C1F" w:rsidP="00D36C1F">
      <w:pPr>
        <w:ind w:firstLine="567"/>
        <w:jc w:val="both"/>
      </w:pPr>
      <w:r>
        <w:t>Также в Контрольный орган 24 и 25 ноября 2022 года от Главы Среднетымского сельского поселения и МУП «ЖКХ Молодёжный» поступили ходатайство и анализ, с дополнительной информацией о деятельности Предприятия, а именно:</w:t>
      </w:r>
    </w:p>
    <w:p w:rsidR="00D36C1F" w:rsidRDefault="00D36C1F" w:rsidP="00D36C1F">
      <w:pPr>
        <w:ind w:firstLine="567"/>
        <w:jc w:val="both"/>
      </w:pPr>
      <w:proofErr w:type="gramStart"/>
      <w:r>
        <w:t>1.Расчет по дровам, фактически израсходованных для котельной п. Молодёжный и котельной с. Напас за отопительный сезон 2020-2021 года, а также в сравнении с данными Департамента тарифного регулирования и выведен перерасход дров в разрезе котельных.</w:t>
      </w:r>
      <w:proofErr w:type="gramEnd"/>
    </w:p>
    <w:p w:rsidR="00D36C1F" w:rsidRDefault="00D36C1F" w:rsidP="00D36C1F">
      <w:pPr>
        <w:ind w:firstLine="567"/>
        <w:jc w:val="both"/>
      </w:pPr>
      <w:r>
        <w:t>2.Отчётные данные по водоснабжению за 2020 и 2021 годы, представлено сравнение данных Департамента тарифного регулирования с фактическими данными в разрезе статей расходов, выведены отклонения в большую или меньшую сторону, с пояснениями причин отклонения.</w:t>
      </w:r>
    </w:p>
    <w:p w:rsidR="00D36C1F" w:rsidRDefault="00D36C1F" w:rsidP="00D36C1F">
      <w:pPr>
        <w:ind w:firstLine="567"/>
        <w:jc w:val="both"/>
      </w:pPr>
      <w:r>
        <w:t>3.Расчёт плановой себестоимости 1 м3 дров ИП Ахмед-Оглы С.В. на период с 01 июля по 31 декабря 2022 года.</w:t>
      </w:r>
    </w:p>
    <w:p w:rsidR="00D36C1F" w:rsidRDefault="00D36C1F" w:rsidP="00D36C1F">
      <w:pPr>
        <w:ind w:firstLine="567"/>
        <w:jc w:val="both"/>
      </w:pPr>
      <w:r>
        <w:t xml:space="preserve"> </w:t>
      </w:r>
    </w:p>
    <w:p w:rsidR="00D36C1F" w:rsidRDefault="00D36C1F" w:rsidP="00D36C1F">
      <w:pPr>
        <w:ind w:firstLine="567"/>
        <w:jc w:val="both"/>
      </w:pPr>
      <w:proofErr w:type="gramStart"/>
      <w:r>
        <w:t>С сотрудниками Администрации Каргасокского района неоднократно проводилось обсуждение предоставленных в Контрольный орган документов для принятия обоснованного решения о необходимости и возможности оказания МУП «ЖКХ Молодёжный» финансовой помощи.</w:t>
      </w:r>
      <w:proofErr w:type="gramEnd"/>
      <w:r>
        <w:t xml:space="preserve"> Последнее совещание было проведено 6 декабря 2022 года.</w:t>
      </w:r>
    </w:p>
    <w:p w:rsidR="00D36C1F" w:rsidRDefault="00D36C1F" w:rsidP="00D36C1F">
      <w:pPr>
        <w:ind w:firstLine="567"/>
        <w:jc w:val="both"/>
      </w:pPr>
      <w:r>
        <w:t>В виду проведения сотрудниками Контрольного органа экспертиз 12 проектов бюджетов сельских поселений, анализ последних представленных документов вынуждены были приостановить.</w:t>
      </w:r>
    </w:p>
    <w:p w:rsidR="00D36C1F" w:rsidRDefault="00D36C1F" w:rsidP="00D36C1F">
      <w:pPr>
        <w:ind w:firstLine="567"/>
      </w:pPr>
    </w:p>
    <w:p w:rsidR="00D36C1F" w:rsidRDefault="00D36C1F" w:rsidP="00D36C1F">
      <w:pPr>
        <w:ind w:firstLine="567"/>
      </w:pPr>
      <w:r>
        <w:t>В соответствии с представленной 17 ноября 2022 года Информацией:</w:t>
      </w:r>
    </w:p>
    <w:p w:rsidR="00D36C1F" w:rsidRDefault="00D36C1F" w:rsidP="00D36C1F">
      <w:pPr>
        <w:ind w:firstLine="567"/>
      </w:pPr>
    </w:p>
    <w:p w:rsidR="00D36C1F" w:rsidRPr="0069544E" w:rsidRDefault="00D36C1F" w:rsidP="00D36C1F">
      <w:pPr>
        <w:tabs>
          <w:tab w:val="left" w:pos="7410"/>
        </w:tabs>
        <w:ind w:firstLine="567"/>
        <w:rPr>
          <w:b/>
        </w:rPr>
      </w:pPr>
      <w:r w:rsidRPr="0069544E">
        <w:rPr>
          <w:b/>
        </w:rPr>
        <w:lastRenderedPageBreak/>
        <w:t>По виду деятельности</w:t>
      </w:r>
      <w:r>
        <w:rPr>
          <w:b/>
        </w:rPr>
        <w:t>:</w:t>
      </w:r>
      <w:r w:rsidRPr="0069544E">
        <w:rPr>
          <w:b/>
        </w:rPr>
        <w:t xml:space="preserve"> Теплоснабжение.</w:t>
      </w:r>
    </w:p>
    <w:p w:rsidR="00D36C1F" w:rsidRDefault="00D36C1F" w:rsidP="00D36C1F">
      <w:pPr>
        <w:tabs>
          <w:tab w:val="left" w:pos="7410"/>
        </w:tabs>
        <w:ind w:firstLine="567"/>
      </w:pPr>
    </w:p>
    <w:p w:rsidR="00D36C1F" w:rsidRDefault="00D36C1F" w:rsidP="00D36C1F">
      <w:pPr>
        <w:tabs>
          <w:tab w:val="left" w:pos="7410"/>
        </w:tabs>
        <w:ind w:firstLine="567"/>
      </w:pPr>
      <w:r>
        <w:t>Потребление электроэнергии в котельных:</w:t>
      </w:r>
    </w:p>
    <w:p w:rsidR="00D36C1F" w:rsidRDefault="00D36C1F" w:rsidP="00D36C1F">
      <w:pPr>
        <w:tabs>
          <w:tab w:val="left" w:pos="7410"/>
        </w:tabs>
        <w:ind w:right="709"/>
        <w:jc w:val="right"/>
      </w:pPr>
      <w:r>
        <w:t>(тыс. кВт)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276"/>
        <w:gridCol w:w="1276"/>
        <w:gridCol w:w="1134"/>
        <w:gridCol w:w="1417"/>
      </w:tblGrid>
      <w:tr w:rsidR="00D36C1F" w:rsidRPr="007633EF" w:rsidTr="000E0DE3">
        <w:tc>
          <w:tcPr>
            <w:tcW w:w="1843" w:type="dxa"/>
            <w:shd w:val="clear" w:color="auto" w:fill="auto"/>
          </w:tcPr>
          <w:p w:rsidR="00D36C1F" w:rsidRPr="007633EF" w:rsidRDefault="00D36C1F" w:rsidP="000E0DE3">
            <w:pPr>
              <w:jc w:val="center"/>
              <w:rPr>
                <w:b/>
              </w:rPr>
            </w:pPr>
            <w:r w:rsidRPr="007633EF">
              <w:rPr>
                <w:b/>
              </w:rPr>
              <w:t>Наименование котельной</w:t>
            </w:r>
          </w:p>
        </w:tc>
        <w:tc>
          <w:tcPr>
            <w:tcW w:w="1134" w:type="dxa"/>
            <w:shd w:val="clear" w:color="auto" w:fill="auto"/>
          </w:tcPr>
          <w:p w:rsidR="00D36C1F" w:rsidRPr="007633EF" w:rsidRDefault="00D36C1F" w:rsidP="000E0DE3">
            <w:pPr>
              <w:jc w:val="center"/>
              <w:rPr>
                <w:b/>
              </w:rPr>
            </w:pPr>
            <w:r w:rsidRPr="007633EF">
              <w:rPr>
                <w:b/>
              </w:rPr>
              <w:t>2020 год по данным департамента</w:t>
            </w:r>
          </w:p>
        </w:tc>
        <w:tc>
          <w:tcPr>
            <w:tcW w:w="1134" w:type="dxa"/>
            <w:shd w:val="clear" w:color="auto" w:fill="auto"/>
          </w:tcPr>
          <w:p w:rsidR="00D36C1F" w:rsidRPr="007633EF" w:rsidRDefault="00D36C1F" w:rsidP="000E0DE3">
            <w:pPr>
              <w:jc w:val="center"/>
              <w:rPr>
                <w:b/>
              </w:rPr>
            </w:pPr>
            <w:r w:rsidRPr="007633EF">
              <w:rPr>
                <w:b/>
              </w:rPr>
              <w:t>2020 год факт</w:t>
            </w:r>
          </w:p>
        </w:tc>
        <w:tc>
          <w:tcPr>
            <w:tcW w:w="1276" w:type="dxa"/>
            <w:shd w:val="clear" w:color="auto" w:fill="auto"/>
          </w:tcPr>
          <w:p w:rsidR="00D36C1F" w:rsidRPr="007633EF" w:rsidRDefault="00D36C1F" w:rsidP="000E0DE3">
            <w:pPr>
              <w:jc w:val="center"/>
              <w:rPr>
                <w:b/>
              </w:rPr>
            </w:pPr>
            <w:r w:rsidRPr="007633EF">
              <w:rPr>
                <w:b/>
              </w:rPr>
              <w:t>Отклонение  плана от факта</w:t>
            </w:r>
          </w:p>
        </w:tc>
        <w:tc>
          <w:tcPr>
            <w:tcW w:w="1276" w:type="dxa"/>
            <w:shd w:val="clear" w:color="auto" w:fill="auto"/>
          </w:tcPr>
          <w:p w:rsidR="00D36C1F" w:rsidRPr="007633EF" w:rsidRDefault="00D36C1F" w:rsidP="000E0DE3">
            <w:pPr>
              <w:jc w:val="center"/>
              <w:rPr>
                <w:b/>
              </w:rPr>
            </w:pPr>
            <w:r w:rsidRPr="007633EF">
              <w:rPr>
                <w:b/>
              </w:rPr>
              <w:t>2021 год по данным департамента</w:t>
            </w:r>
          </w:p>
        </w:tc>
        <w:tc>
          <w:tcPr>
            <w:tcW w:w="1134" w:type="dxa"/>
            <w:shd w:val="clear" w:color="auto" w:fill="auto"/>
          </w:tcPr>
          <w:p w:rsidR="00D36C1F" w:rsidRPr="007633EF" w:rsidRDefault="00D36C1F" w:rsidP="000E0DE3">
            <w:pPr>
              <w:jc w:val="center"/>
              <w:rPr>
                <w:b/>
              </w:rPr>
            </w:pPr>
            <w:r w:rsidRPr="007633EF">
              <w:rPr>
                <w:b/>
              </w:rPr>
              <w:t>2021 год факт</w:t>
            </w:r>
          </w:p>
        </w:tc>
        <w:tc>
          <w:tcPr>
            <w:tcW w:w="1417" w:type="dxa"/>
            <w:shd w:val="clear" w:color="auto" w:fill="auto"/>
          </w:tcPr>
          <w:p w:rsidR="00D36C1F" w:rsidRPr="007633EF" w:rsidRDefault="00D36C1F" w:rsidP="000E0DE3">
            <w:pPr>
              <w:jc w:val="center"/>
              <w:rPr>
                <w:b/>
              </w:rPr>
            </w:pPr>
            <w:r w:rsidRPr="007633EF">
              <w:rPr>
                <w:b/>
              </w:rPr>
              <w:t>Отклонение  плана от факта</w:t>
            </w:r>
          </w:p>
        </w:tc>
      </w:tr>
      <w:tr w:rsidR="00D36C1F" w:rsidRPr="00963841" w:rsidTr="000E0DE3">
        <w:tc>
          <w:tcPr>
            <w:tcW w:w="1843" w:type="dxa"/>
            <w:shd w:val="clear" w:color="auto" w:fill="auto"/>
          </w:tcPr>
          <w:p w:rsidR="00D36C1F" w:rsidRPr="00963841" w:rsidRDefault="00D36C1F" w:rsidP="000E0DE3">
            <w:r w:rsidRPr="00963841">
              <w:t xml:space="preserve">Котельная Центральная п. </w:t>
            </w:r>
            <w:proofErr w:type="gramStart"/>
            <w:r w:rsidRPr="00963841">
              <w:t>Молодежный</w:t>
            </w:r>
            <w:proofErr w:type="gramEnd"/>
          </w:p>
        </w:tc>
        <w:tc>
          <w:tcPr>
            <w:tcW w:w="1134" w:type="dxa"/>
            <w:shd w:val="clear" w:color="auto" w:fill="auto"/>
          </w:tcPr>
          <w:p w:rsidR="00D36C1F" w:rsidRPr="00963841" w:rsidRDefault="00D36C1F" w:rsidP="000E0DE3">
            <w:pPr>
              <w:jc w:val="right"/>
            </w:pPr>
            <w:r w:rsidRPr="00963841">
              <w:t>127,86</w:t>
            </w:r>
          </w:p>
          <w:p w:rsidR="00D36C1F" w:rsidRPr="00963841" w:rsidRDefault="00D36C1F" w:rsidP="000E0DE3">
            <w:pPr>
              <w:ind w:left="-534" w:firstLine="284"/>
              <w:jc w:val="right"/>
            </w:pPr>
          </w:p>
        </w:tc>
        <w:tc>
          <w:tcPr>
            <w:tcW w:w="1134" w:type="dxa"/>
            <w:shd w:val="clear" w:color="auto" w:fill="auto"/>
          </w:tcPr>
          <w:p w:rsidR="00D36C1F" w:rsidRPr="00963841" w:rsidRDefault="00D36C1F" w:rsidP="000E0DE3">
            <w:pPr>
              <w:jc w:val="right"/>
            </w:pPr>
            <w:r w:rsidRPr="00963841">
              <w:t>192,091</w:t>
            </w:r>
          </w:p>
        </w:tc>
        <w:tc>
          <w:tcPr>
            <w:tcW w:w="1276" w:type="dxa"/>
            <w:shd w:val="clear" w:color="auto" w:fill="auto"/>
          </w:tcPr>
          <w:p w:rsidR="00D36C1F" w:rsidRPr="00963841" w:rsidRDefault="00D36C1F" w:rsidP="000E0DE3">
            <w:pPr>
              <w:jc w:val="right"/>
            </w:pPr>
            <w:r w:rsidRPr="00963841">
              <w:t>-64,231</w:t>
            </w:r>
          </w:p>
        </w:tc>
        <w:tc>
          <w:tcPr>
            <w:tcW w:w="1276" w:type="dxa"/>
            <w:shd w:val="clear" w:color="auto" w:fill="auto"/>
          </w:tcPr>
          <w:p w:rsidR="00D36C1F" w:rsidRPr="00963841" w:rsidRDefault="00D36C1F" w:rsidP="000E0DE3">
            <w:pPr>
              <w:jc w:val="right"/>
            </w:pPr>
            <w:r w:rsidRPr="00963841">
              <w:t>199,61</w:t>
            </w:r>
          </w:p>
        </w:tc>
        <w:tc>
          <w:tcPr>
            <w:tcW w:w="1134" w:type="dxa"/>
            <w:shd w:val="clear" w:color="auto" w:fill="auto"/>
          </w:tcPr>
          <w:p w:rsidR="00D36C1F" w:rsidRPr="00963841" w:rsidRDefault="00D36C1F" w:rsidP="000E0DE3">
            <w:pPr>
              <w:jc w:val="right"/>
            </w:pPr>
            <w:r w:rsidRPr="00963841">
              <w:t>188,108</w:t>
            </w:r>
          </w:p>
        </w:tc>
        <w:tc>
          <w:tcPr>
            <w:tcW w:w="1417" w:type="dxa"/>
            <w:shd w:val="clear" w:color="auto" w:fill="auto"/>
          </w:tcPr>
          <w:p w:rsidR="00D36C1F" w:rsidRPr="00963841" w:rsidRDefault="00D36C1F" w:rsidP="000E0DE3">
            <w:pPr>
              <w:jc w:val="right"/>
            </w:pPr>
            <w:r w:rsidRPr="00963841">
              <w:t>11,502</w:t>
            </w:r>
          </w:p>
        </w:tc>
      </w:tr>
      <w:tr w:rsidR="00D36C1F" w:rsidRPr="00963841" w:rsidTr="000E0DE3">
        <w:tc>
          <w:tcPr>
            <w:tcW w:w="1843" w:type="dxa"/>
            <w:shd w:val="clear" w:color="auto" w:fill="auto"/>
          </w:tcPr>
          <w:p w:rsidR="00D36C1F" w:rsidRPr="00963841" w:rsidRDefault="00D36C1F" w:rsidP="000E0DE3">
            <w:r w:rsidRPr="00963841">
              <w:t>Котельная Школьная п. Напас</w:t>
            </w:r>
          </w:p>
        </w:tc>
        <w:tc>
          <w:tcPr>
            <w:tcW w:w="1134" w:type="dxa"/>
            <w:shd w:val="clear" w:color="auto" w:fill="auto"/>
          </w:tcPr>
          <w:p w:rsidR="00D36C1F" w:rsidRPr="00963841" w:rsidRDefault="00D36C1F" w:rsidP="000E0DE3">
            <w:pPr>
              <w:jc w:val="right"/>
            </w:pPr>
            <w:r w:rsidRPr="00963841">
              <w:t>15,160</w:t>
            </w:r>
          </w:p>
        </w:tc>
        <w:tc>
          <w:tcPr>
            <w:tcW w:w="1134" w:type="dxa"/>
            <w:shd w:val="clear" w:color="auto" w:fill="auto"/>
          </w:tcPr>
          <w:p w:rsidR="00D36C1F" w:rsidRPr="00963841" w:rsidRDefault="00D36C1F" w:rsidP="000E0DE3">
            <w:pPr>
              <w:jc w:val="right"/>
            </w:pPr>
            <w:r w:rsidRPr="00963841">
              <w:t>10,488</w:t>
            </w:r>
          </w:p>
        </w:tc>
        <w:tc>
          <w:tcPr>
            <w:tcW w:w="1276" w:type="dxa"/>
            <w:shd w:val="clear" w:color="auto" w:fill="auto"/>
          </w:tcPr>
          <w:p w:rsidR="00D36C1F" w:rsidRPr="00963841" w:rsidRDefault="00D36C1F" w:rsidP="000E0DE3">
            <w:pPr>
              <w:jc w:val="right"/>
            </w:pPr>
            <w:r w:rsidRPr="00963841">
              <w:t>4,672</w:t>
            </w:r>
          </w:p>
        </w:tc>
        <w:tc>
          <w:tcPr>
            <w:tcW w:w="1276" w:type="dxa"/>
            <w:shd w:val="clear" w:color="auto" w:fill="auto"/>
          </w:tcPr>
          <w:p w:rsidR="00D36C1F" w:rsidRPr="00963841" w:rsidRDefault="00D36C1F" w:rsidP="000E0DE3">
            <w:pPr>
              <w:jc w:val="right"/>
            </w:pPr>
            <w:r w:rsidRPr="00963841">
              <w:t>10,15</w:t>
            </w:r>
          </w:p>
        </w:tc>
        <w:tc>
          <w:tcPr>
            <w:tcW w:w="1134" w:type="dxa"/>
            <w:shd w:val="clear" w:color="auto" w:fill="auto"/>
          </w:tcPr>
          <w:p w:rsidR="00D36C1F" w:rsidRPr="00963841" w:rsidRDefault="00D36C1F" w:rsidP="000E0DE3">
            <w:pPr>
              <w:jc w:val="right"/>
            </w:pPr>
            <w:r w:rsidRPr="00963841">
              <w:t>10,471</w:t>
            </w:r>
          </w:p>
        </w:tc>
        <w:tc>
          <w:tcPr>
            <w:tcW w:w="1417" w:type="dxa"/>
            <w:shd w:val="clear" w:color="auto" w:fill="auto"/>
          </w:tcPr>
          <w:p w:rsidR="00D36C1F" w:rsidRPr="00963841" w:rsidRDefault="00D36C1F" w:rsidP="000E0DE3">
            <w:pPr>
              <w:jc w:val="right"/>
            </w:pPr>
            <w:r w:rsidRPr="00963841">
              <w:t>-0,321</w:t>
            </w:r>
          </w:p>
        </w:tc>
      </w:tr>
      <w:tr w:rsidR="00D36C1F" w:rsidRPr="007E5C4C" w:rsidTr="000E0DE3">
        <w:tc>
          <w:tcPr>
            <w:tcW w:w="1843" w:type="dxa"/>
            <w:shd w:val="clear" w:color="auto" w:fill="auto"/>
          </w:tcPr>
          <w:p w:rsidR="00D36C1F" w:rsidRPr="007E5C4C" w:rsidRDefault="00D36C1F" w:rsidP="000E0DE3">
            <w:pPr>
              <w:rPr>
                <w:b/>
              </w:rPr>
            </w:pPr>
            <w:r w:rsidRPr="007E5C4C">
              <w:rPr>
                <w:b/>
              </w:rPr>
              <w:t xml:space="preserve">Итого: </w:t>
            </w:r>
          </w:p>
        </w:tc>
        <w:tc>
          <w:tcPr>
            <w:tcW w:w="1134" w:type="dxa"/>
            <w:shd w:val="clear" w:color="auto" w:fill="auto"/>
          </w:tcPr>
          <w:p w:rsidR="00D36C1F" w:rsidRPr="007E5C4C" w:rsidRDefault="00D36C1F" w:rsidP="000E0DE3">
            <w:pPr>
              <w:jc w:val="right"/>
              <w:rPr>
                <w:b/>
              </w:rPr>
            </w:pPr>
            <w:r w:rsidRPr="007E5C4C">
              <w:rPr>
                <w:b/>
              </w:rPr>
              <w:t>143,020</w:t>
            </w:r>
          </w:p>
        </w:tc>
        <w:tc>
          <w:tcPr>
            <w:tcW w:w="1134" w:type="dxa"/>
            <w:shd w:val="clear" w:color="auto" w:fill="auto"/>
          </w:tcPr>
          <w:p w:rsidR="00D36C1F" w:rsidRPr="007E5C4C" w:rsidRDefault="00D36C1F" w:rsidP="000E0DE3">
            <w:pPr>
              <w:jc w:val="right"/>
              <w:rPr>
                <w:b/>
              </w:rPr>
            </w:pPr>
            <w:r w:rsidRPr="007E5C4C">
              <w:rPr>
                <w:b/>
              </w:rPr>
              <w:t>202,579</w:t>
            </w:r>
          </w:p>
        </w:tc>
        <w:tc>
          <w:tcPr>
            <w:tcW w:w="1276" w:type="dxa"/>
            <w:shd w:val="clear" w:color="auto" w:fill="auto"/>
          </w:tcPr>
          <w:p w:rsidR="00D36C1F" w:rsidRPr="007E5C4C" w:rsidRDefault="00D36C1F" w:rsidP="000E0DE3">
            <w:pPr>
              <w:jc w:val="right"/>
              <w:rPr>
                <w:b/>
              </w:rPr>
            </w:pPr>
            <w:r w:rsidRPr="007E5C4C">
              <w:rPr>
                <w:b/>
              </w:rPr>
              <w:t>-59,559</w:t>
            </w:r>
          </w:p>
        </w:tc>
        <w:tc>
          <w:tcPr>
            <w:tcW w:w="1276" w:type="dxa"/>
            <w:shd w:val="clear" w:color="auto" w:fill="auto"/>
          </w:tcPr>
          <w:p w:rsidR="00D36C1F" w:rsidRPr="007E5C4C" w:rsidRDefault="00D36C1F" w:rsidP="000E0DE3">
            <w:pPr>
              <w:jc w:val="right"/>
              <w:rPr>
                <w:b/>
              </w:rPr>
            </w:pPr>
            <w:r w:rsidRPr="007E5C4C">
              <w:rPr>
                <w:b/>
              </w:rPr>
              <w:t>209,76</w:t>
            </w:r>
          </w:p>
        </w:tc>
        <w:tc>
          <w:tcPr>
            <w:tcW w:w="1134" w:type="dxa"/>
            <w:shd w:val="clear" w:color="auto" w:fill="auto"/>
          </w:tcPr>
          <w:p w:rsidR="00D36C1F" w:rsidRPr="007E5C4C" w:rsidRDefault="00D36C1F" w:rsidP="000E0DE3">
            <w:pPr>
              <w:jc w:val="right"/>
              <w:rPr>
                <w:b/>
              </w:rPr>
            </w:pPr>
            <w:r w:rsidRPr="007E5C4C">
              <w:rPr>
                <w:b/>
              </w:rPr>
              <w:t>198,579</w:t>
            </w:r>
          </w:p>
        </w:tc>
        <w:tc>
          <w:tcPr>
            <w:tcW w:w="1417" w:type="dxa"/>
            <w:shd w:val="clear" w:color="auto" w:fill="auto"/>
          </w:tcPr>
          <w:p w:rsidR="00D36C1F" w:rsidRPr="007E5C4C" w:rsidRDefault="00D36C1F" w:rsidP="000E0DE3">
            <w:pPr>
              <w:jc w:val="right"/>
              <w:rPr>
                <w:b/>
              </w:rPr>
            </w:pPr>
            <w:r w:rsidRPr="007E5C4C">
              <w:rPr>
                <w:b/>
              </w:rPr>
              <w:t>11,181</w:t>
            </w:r>
          </w:p>
        </w:tc>
      </w:tr>
    </w:tbl>
    <w:p w:rsidR="00D36C1F" w:rsidRDefault="00D36C1F" w:rsidP="00D36C1F">
      <w:pPr>
        <w:jc w:val="center"/>
      </w:pPr>
    </w:p>
    <w:p w:rsidR="00D36C1F" w:rsidRDefault="00D36C1F" w:rsidP="00D36C1F">
      <w:pPr>
        <w:tabs>
          <w:tab w:val="left" w:pos="7410"/>
        </w:tabs>
        <w:ind w:firstLine="567"/>
      </w:pPr>
      <w:r>
        <w:t>Оплата за потреблённую электроэнергию в котельных:</w:t>
      </w:r>
    </w:p>
    <w:p w:rsidR="00D36C1F" w:rsidRDefault="00D36C1F" w:rsidP="00D36C1F">
      <w:pPr>
        <w:ind w:right="425"/>
        <w:jc w:val="right"/>
      </w:pPr>
      <w:r>
        <w:t>(тыс.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276"/>
        <w:gridCol w:w="1276"/>
        <w:gridCol w:w="1113"/>
        <w:gridCol w:w="1438"/>
      </w:tblGrid>
      <w:tr w:rsidR="00D36C1F" w:rsidRPr="007633EF" w:rsidTr="000E0DE3">
        <w:tc>
          <w:tcPr>
            <w:tcW w:w="1843" w:type="dxa"/>
            <w:shd w:val="clear" w:color="auto" w:fill="auto"/>
          </w:tcPr>
          <w:p w:rsidR="00D36C1F" w:rsidRPr="007633EF" w:rsidRDefault="00D36C1F" w:rsidP="000E0DE3">
            <w:pPr>
              <w:jc w:val="center"/>
              <w:rPr>
                <w:b/>
              </w:rPr>
            </w:pPr>
            <w:r w:rsidRPr="007633EF">
              <w:rPr>
                <w:b/>
              </w:rPr>
              <w:t>Наименование котельной</w:t>
            </w:r>
          </w:p>
        </w:tc>
        <w:tc>
          <w:tcPr>
            <w:tcW w:w="1134" w:type="dxa"/>
            <w:shd w:val="clear" w:color="auto" w:fill="auto"/>
          </w:tcPr>
          <w:p w:rsidR="00D36C1F" w:rsidRPr="007633EF" w:rsidRDefault="00D36C1F" w:rsidP="000E0DE3">
            <w:pPr>
              <w:jc w:val="center"/>
              <w:rPr>
                <w:b/>
              </w:rPr>
            </w:pPr>
            <w:r w:rsidRPr="007633EF">
              <w:rPr>
                <w:b/>
              </w:rPr>
              <w:t>2020 год план</w:t>
            </w:r>
          </w:p>
        </w:tc>
        <w:tc>
          <w:tcPr>
            <w:tcW w:w="1134" w:type="dxa"/>
            <w:shd w:val="clear" w:color="auto" w:fill="auto"/>
          </w:tcPr>
          <w:p w:rsidR="00D36C1F" w:rsidRPr="007633EF" w:rsidRDefault="00D36C1F" w:rsidP="000E0DE3">
            <w:pPr>
              <w:jc w:val="center"/>
              <w:rPr>
                <w:b/>
              </w:rPr>
            </w:pPr>
            <w:r w:rsidRPr="007633EF">
              <w:rPr>
                <w:b/>
              </w:rPr>
              <w:t>2020 год факт</w:t>
            </w:r>
          </w:p>
        </w:tc>
        <w:tc>
          <w:tcPr>
            <w:tcW w:w="1276" w:type="dxa"/>
            <w:shd w:val="clear" w:color="auto" w:fill="auto"/>
          </w:tcPr>
          <w:p w:rsidR="00D36C1F" w:rsidRPr="007633EF" w:rsidRDefault="00D36C1F" w:rsidP="000E0DE3">
            <w:pPr>
              <w:jc w:val="center"/>
              <w:rPr>
                <w:b/>
              </w:rPr>
            </w:pPr>
            <w:r w:rsidRPr="007633EF">
              <w:rPr>
                <w:b/>
              </w:rPr>
              <w:t>Отклонение  плана от факта</w:t>
            </w:r>
          </w:p>
        </w:tc>
        <w:tc>
          <w:tcPr>
            <w:tcW w:w="1276" w:type="dxa"/>
            <w:shd w:val="clear" w:color="auto" w:fill="auto"/>
          </w:tcPr>
          <w:p w:rsidR="00D36C1F" w:rsidRPr="007633EF" w:rsidRDefault="00D36C1F" w:rsidP="000E0DE3">
            <w:pPr>
              <w:jc w:val="center"/>
              <w:rPr>
                <w:b/>
              </w:rPr>
            </w:pPr>
            <w:r w:rsidRPr="007633EF">
              <w:rPr>
                <w:b/>
              </w:rPr>
              <w:t>2021 год план</w:t>
            </w:r>
          </w:p>
        </w:tc>
        <w:tc>
          <w:tcPr>
            <w:tcW w:w="1113" w:type="dxa"/>
            <w:shd w:val="clear" w:color="auto" w:fill="auto"/>
          </w:tcPr>
          <w:p w:rsidR="00D36C1F" w:rsidRPr="007633EF" w:rsidRDefault="00D36C1F" w:rsidP="000E0DE3">
            <w:pPr>
              <w:jc w:val="center"/>
              <w:rPr>
                <w:b/>
              </w:rPr>
            </w:pPr>
            <w:r w:rsidRPr="007633EF">
              <w:rPr>
                <w:b/>
              </w:rPr>
              <w:t>2021 год факт</w:t>
            </w:r>
          </w:p>
        </w:tc>
        <w:tc>
          <w:tcPr>
            <w:tcW w:w="1438" w:type="dxa"/>
            <w:shd w:val="clear" w:color="auto" w:fill="auto"/>
          </w:tcPr>
          <w:p w:rsidR="00D36C1F" w:rsidRPr="007633EF" w:rsidRDefault="00D36C1F" w:rsidP="000E0DE3">
            <w:pPr>
              <w:jc w:val="center"/>
              <w:rPr>
                <w:b/>
              </w:rPr>
            </w:pPr>
            <w:r w:rsidRPr="007633EF">
              <w:rPr>
                <w:b/>
              </w:rPr>
              <w:t>Отклонение  плана от факта</w:t>
            </w:r>
          </w:p>
        </w:tc>
      </w:tr>
      <w:tr w:rsidR="00D36C1F" w:rsidRPr="00963841" w:rsidTr="000E0DE3">
        <w:tc>
          <w:tcPr>
            <w:tcW w:w="1843" w:type="dxa"/>
            <w:shd w:val="clear" w:color="auto" w:fill="auto"/>
          </w:tcPr>
          <w:p w:rsidR="00D36C1F" w:rsidRPr="00963841" w:rsidRDefault="00D36C1F" w:rsidP="000E0DE3">
            <w:r w:rsidRPr="00963841">
              <w:t xml:space="preserve">Котельная Центральная п. </w:t>
            </w:r>
            <w:proofErr w:type="gramStart"/>
            <w:r w:rsidRPr="00963841">
              <w:t>Молодежный</w:t>
            </w:r>
            <w:proofErr w:type="gramEnd"/>
          </w:p>
        </w:tc>
        <w:tc>
          <w:tcPr>
            <w:tcW w:w="1134" w:type="dxa"/>
            <w:shd w:val="clear" w:color="auto" w:fill="auto"/>
          </w:tcPr>
          <w:p w:rsidR="00D36C1F" w:rsidRPr="00963841" w:rsidRDefault="00D36C1F" w:rsidP="000E0DE3">
            <w:pPr>
              <w:jc w:val="right"/>
            </w:pPr>
            <w:r w:rsidRPr="00963841">
              <w:t>4</w:t>
            </w:r>
            <w:r>
              <w:t xml:space="preserve"> </w:t>
            </w:r>
            <w:r w:rsidRPr="00963841">
              <w:t>254,04</w:t>
            </w:r>
          </w:p>
          <w:p w:rsidR="00D36C1F" w:rsidRPr="00963841" w:rsidRDefault="00D36C1F" w:rsidP="000E0DE3">
            <w:pPr>
              <w:ind w:left="-534" w:firstLine="284"/>
              <w:jc w:val="right"/>
            </w:pPr>
          </w:p>
        </w:tc>
        <w:tc>
          <w:tcPr>
            <w:tcW w:w="1134" w:type="dxa"/>
            <w:shd w:val="clear" w:color="auto" w:fill="auto"/>
          </w:tcPr>
          <w:p w:rsidR="00D36C1F" w:rsidRPr="00963841" w:rsidRDefault="00D36C1F" w:rsidP="000E0DE3">
            <w:pPr>
              <w:jc w:val="right"/>
            </w:pPr>
            <w:r w:rsidRPr="00963841">
              <w:t>6</w:t>
            </w:r>
            <w:r>
              <w:t xml:space="preserve"> </w:t>
            </w:r>
            <w:r w:rsidRPr="00963841">
              <w:t>452,98</w:t>
            </w:r>
          </w:p>
        </w:tc>
        <w:tc>
          <w:tcPr>
            <w:tcW w:w="1276" w:type="dxa"/>
            <w:shd w:val="clear" w:color="auto" w:fill="auto"/>
          </w:tcPr>
          <w:p w:rsidR="00D36C1F" w:rsidRPr="00963841" w:rsidRDefault="00D36C1F" w:rsidP="000E0DE3">
            <w:pPr>
              <w:jc w:val="right"/>
            </w:pPr>
            <w:r w:rsidRPr="00963841">
              <w:t>-2</w:t>
            </w:r>
            <w:r>
              <w:t xml:space="preserve"> </w:t>
            </w:r>
            <w:r w:rsidRPr="00963841">
              <w:t>198,94</w:t>
            </w:r>
          </w:p>
        </w:tc>
        <w:tc>
          <w:tcPr>
            <w:tcW w:w="1276" w:type="dxa"/>
            <w:shd w:val="clear" w:color="auto" w:fill="auto"/>
          </w:tcPr>
          <w:p w:rsidR="00D36C1F" w:rsidRPr="00963841" w:rsidRDefault="00D36C1F" w:rsidP="000E0DE3">
            <w:pPr>
              <w:jc w:val="right"/>
            </w:pPr>
            <w:r w:rsidRPr="00963841">
              <w:t>7</w:t>
            </w:r>
            <w:r>
              <w:t xml:space="preserve"> </w:t>
            </w:r>
            <w:r w:rsidRPr="00963841">
              <w:t>053,47</w:t>
            </w:r>
          </w:p>
        </w:tc>
        <w:tc>
          <w:tcPr>
            <w:tcW w:w="1113" w:type="dxa"/>
            <w:shd w:val="clear" w:color="auto" w:fill="auto"/>
          </w:tcPr>
          <w:p w:rsidR="00D36C1F" w:rsidRPr="00963841" w:rsidRDefault="00D36C1F" w:rsidP="000E0DE3">
            <w:pPr>
              <w:jc w:val="right"/>
            </w:pPr>
            <w:r w:rsidRPr="00963841">
              <w:t>7</w:t>
            </w:r>
            <w:r>
              <w:t xml:space="preserve"> </w:t>
            </w:r>
            <w:r w:rsidRPr="00963841">
              <w:t>037,19</w:t>
            </w:r>
          </w:p>
        </w:tc>
        <w:tc>
          <w:tcPr>
            <w:tcW w:w="1438" w:type="dxa"/>
            <w:shd w:val="clear" w:color="auto" w:fill="auto"/>
          </w:tcPr>
          <w:p w:rsidR="00D36C1F" w:rsidRPr="00963841" w:rsidRDefault="00D36C1F" w:rsidP="000E0DE3">
            <w:pPr>
              <w:jc w:val="right"/>
            </w:pPr>
            <w:r w:rsidRPr="00963841">
              <w:t>16,28</w:t>
            </w:r>
          </w:p>
        </w:tc>
      </w:tr>
      <w:tr w:rsidR="00D36C1F" w:rsidRPr="00963841" w:rsidTr="000E0DE3">
        <w:tc>
          <w:tcPr>
            <w:tcW w:w="1843" w:type="dxa"/>
            <w:shd w:val="clear" w:color="auto" w:fill="auto"/>
          </w:tcPr>
          <w:p w:rsidR="00D36C1F" w:rsidRPr="00963841" w:rsidRDefault="00D36C1F" w:rsidP="000E0DE3">
            <w:r w:rsidRPr="00963841">
              <w:t>Котельная Школьная п. Напас</w:t>
            </w:r>
          </w:p>
        </w:tc>
        <w:tc>
          <w:tcPr>
            <w:tcW w:w="1134" w:type="dxa"/>
            <w:shd w:val="clear" w:color="auto" w:fill="auto"/>
          </w:tcPr>
          <w:p w:rsidR="00D36C1F" w:rsidRPr="00963841" w:rsidRDefault="00D36C1F" w:rsidP="000E0DE3">
            <w:pPr>
              <w:jc w:val="right"/>
            </w:pPr>
            <w:r w:rsidRPr="00963841">
              <w:t>504,39</w:t>
            </w:r>
          </w:p>
        </w:tc>
        <w:tc>
          <w:tcPr>
            <w:tcW w:w="1134" w:type="dxa"/>
            <w:shd w:val="clear" w:color="auto" w:fill="auto"/>
          </w:tcPr>
          <w:p w:rsidR="00D36C1F" w:rsidRPr="00963841" w:rsidRDefault="00D36C1F" w:rsidP="000E0DE3">
            <w:pPr>
              <w:jc w:val="right"/>
            </w:pPr>
            <w:r w:rsidRPr="00963841">
              <w:t>352,16</w:t>
            </w:r>
          </w:p>
        </w:tc>
        <w:tc>
          <w:tcPr>
            <w:tcW w:w="1276" w:type="dxa"/>
            <w:shd w:val="clear" w:color="auto" w:fill="auto"/>
          </w:tcPr>
          <w:p w:rsidR="00D36C1F" w:rsidRPr="00963841" w:rsidRDefault="00D36C1F" w:rsidP="000E0DE3">
            <w:pPr>
              <w:jc w:val="right"/>
            </w:pPr>
            <w:r w:rsidRPr="00963841">
              <w:t>152,2</w:t>
            </w:r>
            <w:r>
              <w:t>3</w:t>
            </w:r>
          </w:p>
        </w:tc>
        <w:tc>
          <w:tcPr>
            <w:tcW w:w="1276" w:type="dxa"/>
            <w:shd w:val="clear" w:color="auto" w:fill="auto"/>
          </w:tcPr>
          <w:p w:rsidR="00D36C1F" w:rsidRPr="00963841" w:rsidRDefault="00D36C1F" w:rsidP="000E0DE3">
            <w:pPr>
              <w:jc w:val="right"/>
            </w:pPr>
            <w:r w:rsidRPr="00963841">
              <w:t>358,66</w:t>
            </w:r>
          </w:p>
        </w:tc>
        <w:tc>
          <w:tcPr>
            <w:tcW w:w="1113" w:type="dxa"/>
            <w:shd w:val="clear" w:color="auto" w:fill="auto"/>
          </w:tcPr>
          <w:p w:rsidR="00D36C1F" w:rsidRPr="00963841" w:rsidRDefault="00D36C1F" w:rsidP="000E0DE3">
            <w:pPr>
              <w:jc w:val="right"/>
            </w:pPr>
            <w:r w:rsidRPr="00963841">
              <w:t>390,08</w:t>
            </w:r>
          </w:p>
        </w:tc>
        <w:tc>
          <w:tcPr>
            <w:tcW w:w="1438" w:type="dxa"/>
            <w:shd w:val="clear" w:color="auto" w:fill="auto"/>
          </w:tcPr>
          <w:p w:rsidR="00D36C1F" w:rsidRPr="00963841" w:rsidRDefault="00D36C1F" w:rsidP="000E0DE3">
            <w:pPr>
              <w:jc w:val="right"/>
            </w:pPr>
            <w:r w:rsidRPr="00963841">
              <w:t>-31,42</w:t>
            </w:r>
          </w:p>
        </w:tc>
      </w:tr>
      <w:tr w:rsidR="00D36C1F" w:rsidRPr="004C2097" w:rsidTr="000E0DE3">
        <w:tc>
          <w:tcPr>
            <w:tcW w:w="1843" w:type="dxa"/>
            <w:shd w:val="clear" w:color="auto" w:fill="auto"/>
          </w:tcPr>
          <w:p w:rsidR="00D36C1F" w:rsidRPr="004C2097" w:rsidRDefault="00D36C1F" w:rsidP="000E0DE3">
            <w:pPr>
              <w:rPr>
                <w:b/>
              </w:rPr>
            </w:pPr>
            <w:r w:rsidRPr="004C2097">
              <w:rPr>
                <w:b/>
              </w:rPr>
              <w:t xml:space="preserve">Итого: </w:t>
            </w:r>
          </w:p>
        </w:tc>
        <w:tc>
          <w:tcPr>
            <w:tcW w:w="1134" w:type="dxa"/>
            <w:shd w:val="clear" w:color="auto" w:fill="auto"/>
          </w:tcPr>
          <w:p w:rsidR="00D36C1F" w:rsidRPr="004C2097" w:rsidRDefault="00D36C1F" w:rsidP="000E0DE3">
            <w:pPr>
              <w:jc w:val="right"/>
              <w:rPr>
                <w:b/>
              </w:rPr>
            </w:pPr>
            <w:r w:rsidRPr="004C2097">
              <w:rPr>
                <w:b/>
              </w:rPr>
              <w:t>4 758,43</w:t>
            </w:r>
          </w:p>
        </w:tc>
        <w:tc>
          <w:tcPr>
            <w:tcW w:w="1134" w:type="dxa"/>
            <w:shd w:val="clear" w:color="auto" w:fill="auto"/>
          </w:tcPr>
          <w:p w:rsidR="00D36C1F" w:rsidRPr="004C2097" w:rsidRDefault="00D36C1F" w:rsidP="000E0DE3">
            <w:pPr>
              <w:jc w:val="right"/>
              <w:rPr>
                <w:b/>
              </w:rPr>
            </w:pPr>
            <w:r w:rsidRPr="004C2097">
              <w:rPr>
                <w:b/>
              </w:rPr>
              <w:t>6 805,14</w:t>
            </w:r>
          </w:p>
        </w:tc>
        <w:tc>
          <w:tcPr>
            <w:tcW w:w="1276" w:type="dxa"/>
            <w:shd w:val="clear" w:color="auto" w:fill="auto"/>
          </w:tcPr>
          <w:p w:rsidR="00D36C1F" w:rsidRPr="004C2097" w:rsidRDefault="00D36C1F" w:rsidP="000E0DE3">
            <w:pPr>
              <w:jc w:val="right"/>
              <w:rPr>
                <w:b/>
              </w:rPr>
            </w:pPr>
            <w:r w:rsidRPr="004C2097">
              <w:rPr>
                <w:b/>
              </w:rPr>
              <w:t>-2 046,71</w:t>
            </w:r>
          </w:p>
        </w:tc>
        <w:tc>
          <w:tcPr>
            <w:tcW w:w="1276" w:type="dxa"/>
            <w:shd w:val="clear" w:color="auto" w:fill="auto"/>
          </w:tcPr>
          <w:p w:rsidR="00D36C1F" w:rsidRPr="004C2097" w:rsidRDefault="00D36C1F" w:rsidP="000E0DE3">
            <w:pPr>
              <w:jc w:val="right"/>
              <w:rPr>
                <w:b/>
              </w:rPr>
            </w:pPr>
            <w:r w:rsidRPr="004C2097">
              <w:rPr>
                <w:b/>
              </w:rPr>
              <w:t>7 412,13</w:t>
            </w:r>
          </w:p>
        </w:tc>
        <w:tc>
          <w:tcPr>
            <w:tcW w:w="1113" w:type="dxa"/>
            <w:shd w:val="clear" w:color="auto" w:fill="auto"/>
          </w:tcPr>
          <w:p w:rsidR="00D36C1F" w:rsidRPr="004C2097" w:rsidRDefault="00D36C1F" w:rsidP="000E0DE3">
            <w:pPr>
              <w:jc w:val="right"/>
              <w:rPr>
                <w:b/>
              </w:rPr>
            </w:pPr>
            <w:r w:rsidRPr="004C2097">
              <w:rPr>
                <w:b/>
              </w:rPr>
              <w:t>7 427,27</w:t>
            </w:r>
          </w:p>
        </w:tc>
        <w:tc>
          <w:tcPr>
            <w:tcW w:w="1438" w:type="dxa"/>
            <w:shd w:val="clear" w:color="auto" w:fill="auto"/>
          </w:tcPr>
          <w:p w:rsidR="00D36C1F" w:rsidRPr="004C2097" w:rsidRDefault="00D36C1F" w:rsidP="000E0DE3">
            <w:pPr>
              <w:jc w:val="right"/>
              <w:rPr>
                <w:b/>
              </w:rPr>
            </w:pPr>
            <w:r w:rsidRPr="004C2097">
              <w:rPr>
                <w:b/>
              </w:rPr>
              <w:t>-15,14</w:t>
            </w:r>
          </w:p>
        </w:tc>
      </w:tr>
    </w:tbl>
    <w:p w:rsidR="00D36C1F" w:rsidRDefault="00D36C1F" w:rsidP="00D36C1F"/>
    <w:p w:rsidR="00D36C1F" w:rsidRDefault="00D36C1F" w:rsidP="00D36C1F">
      <w:pPr>
        <w:ind w:firstLine="567"/>
        <w:jc w:val="both"/>
      </w:pPr>
      <w:r w:rsidRPr="007134F4">
        <w:t xml:space="preserve">По итогам 2020 и 2021 годов сумма сверхнормативных затрат (не учтенных при установлении тарифа на тепловую энергию) по статье затрат: электроснабжение на нужды котельных сложилась в размере </w:t>
      </w:r>
      <w:r w:rsidRPr="00CD58E5">
        <w:rPr>
          <w:b/>
        </w:rPr>
        <w:t>2 061 850</w:t>
      </w:r>
      <w:r w:rsidRPr="007134F4">
        <w:t xml:space="preserve"> руб. (2</w:t>
      </w:r>
      <w:r>
        <w:t> </w:t>
      </w:r>
      <w:r w:rsidRPr="007134F4">
        <w:t>046</w:t>
      </w:r>
      <w:r>
        <w:t xml:space="preserve"> </w:t>
      </w:r>
      <w:r w:rsidRPr="007134F4">
        <w:t>710 +</w:t>
      </w:r>
      <w:r>
        <w:t xml:space="preserve"> </w:t>
      </w:r>
      <w:r w:rsidRPr="007134F4">
        <w:t>15</w:t>
      </w:r>
      <w:r>
        <w:t xml:space="preserve"> </w:t>
      </w:r>
      <w:r w:rsidRPr="007134F4">
        <w:t>140</w:t>
      </w:r>
      <w:r>
        <w:t>).</w:t>
      </w:r>
      <w:r w:rsidRPr="007134F4">
        <w:t xml:space="preserve"> Сверхнормативное потребление электроэнергии объясняется тем, что в котельных п</w:t>
      </w:r>
      <w:r>
        <w:t>осёлка</w:t>
      </w:r>
      <w:r w:rsidRPr="007134F4">
        <w:t xml:space="preserve"> </w:t>
      </w:r>
      <w:proofErr w:type="gramStart"/>
      <w:r w:rsidRPr="007134F4">
        <w:t>Молодежный</w:t>
      </w:r>
      <w:proofErr w:type="gramEnd"/>
      <w:r w:rsidRPr="007134F4">
        <w:t xml:space="preserve"> имеется энерго</w:t>
      </w:r>
      <w:r>
        <w:t>ё</w:t>
      </w:r>
      <w:r w:rsidRPr="007134F4">
        <w:t>мкое оборудование, для выработки тепла. Для уменьшения потребления электроэнергии необходима замена сетевых насосов на энергосберегающие, но у предприятия нет необходимых денежных сре</w:t>
      </w:r>
      <w:r>
        <w:t>дств на осуществление этой цели.</w:t>
      </w:r>
      <w:r w:rsidRPr="007134F4">
        <w:t xml:space="preserve"> </w:t>
      </w:r>
      <w:r>
        <w:t>М</w:t>
      </w:r>
      <w:r w:rsidRPr="007134F4">
        <w:t>енее мощное оборудование не сможет создать необходимое давление для циркуляции воды в системе отопления. До 2021 года данные затраты не включались в тариф на теплоснабжение Департаментом тарифного регулирования Томской области, что значительно повлияло на финансовый результат по данному виду деятельности и предприятию в целом.</w:t>
      </w:r>
    </w:p>
    <w:p w:rsidR="00D36C1F" w:rsidRPr="0069544E" w:rsidRDefault="00D36C1F" w:rsidP="00D36C1F">
      <w:pPr>
        <w:ind w:firstLine="567"/>
        <w:jc w:val="both"/>
      </w:pPr>
      <w:r w:rsidRPr="0069544E">
        <w:t xml:space="preserve">По результатам закупки дров в сентябре 2022 года цена закупа дров </w:t>
      </w:r>
      <w:r>
        <w:t>сложилась в размере</w:t>
      </w:r>
      <w:r w:rsidRPr="0069544E">
        <w:t xml:space="preserve"> 2</w:t>
      </w:r>
      <w:r>
        <w:t xml:space="preserve"> </w:t>
      </w:r>
      <w:r w:rsidRPr="0069544E">
        <w:t xml:space="preserve">000 руб. за 1 м3. </w:t>
      </w:r>
      <w:r>
        <w:t>В тарифе на теплоснабжение</w:t>
      </w:r>
      <w:r w:rsidRPr="0069544E">
        <w:t xml:space="preserve"> </w:t>
      </w:r>
      <w:r>
        <w:t>Д</w:t>
      </w:r>
      <w:r w:rsidRPr="0069544E">
        <w:t>епартамент</w:t>
      </w:r>
      <w:r>
        <w:t>ом</w:t>
      </w:r>
      <w:r w:rsidRPr="0069544E">
        <w:t xml:space="preserve"> тарифного регулирования </w:t>
      </w:r>
      <w:r>
        <w:t xml:space="preserve">Томской области </w:t>
      </w:r>
      <w:r w:rsidRPr="0069544E">
        <w:t xml:space="preserve">цена дров </w:t>
      </w:r>
      <w:r>
        <w:t>учтена в размере</w:t>
      </w:r>
      <w:r w:rsidRPr="0069544E">
        <w:t xml:space="preserve"> 1</w:t>
      </w:r>
      <w:r>
        <w:t xml:space="preserve"> </w:t>
      </w:r>
      <w:r w:rsidRPr="0069544E">
        <w:t>735,48 руб.</w:t>
      </w:r>
      <w:r>
        <w:t>,</w:t>
      </w:r>
      <w:r w:rsidRPr="0069544E">
        <w:t xml:space="preserve"> разница составляет 264,52 руб. </w:t>
      </w:r>
      <w:r>
        <w:t>С</w:t>
      </w:r>
      <w:r w:rsidRPr="0069544E">
        <w:t xml:space="preserve">умма </w:t>
      </w:r>
      <w:r>
        <w:t xml:space="preserve">сверхнормативных затрат </w:t>
      </w:r>
      <w:r w:rsidRPr="0069544E">
        <w:t xml:space="preserve">составляет </w:t>
      </w:r>
      <w:r w:rsidRPr="00440711">
        <w:rPr>
          <w:b/>
        </w:rPr>
        <w:t>130 937,4</w:t>
      </w:r>
      <w:r>
        <w:t xml:space="preserve"> руб. (495 м3*264,52 руб.).</w:t>
      </w:r>
    </w:p>
    <w:p w:rsidR="00D36C1F" w:rsidRPr="0069544E" w:rsidRDefault="00D36C1F" w:rsidP="00D36C1F">
      <w:pPr>
        <w:ind w:firstLine="567"/>
        <w:jc w:val="both"/>
      </w:pPr>
      <w:r w:rsidRPr="0069544E">
        <w:t>На 1 ноября 2022 г</w:t>
      </w:r>
      <w:r>
        <w:t>ода</w:t>
      </w:r>
      <w:r w:rsidRPr="0069544E">
        <w:t xml:space="preserve"> остатки дров составляют по центральной котельной</w:t>
      </w:r>
      <w:r>
        <w:t xml:space="preserve"> в</w:t>
      </w:r>
      <w:r w:rsidRPr="0069544E">
        <w:t xml:space="preserve"> п</w:t>
      </w:r>
      <w:r>
        <w:t>осёлке</w:t>
      </w:r>
      <w:r w:rsidRPr="0069544E">
        <w:t xml:space="preserve"> Молодежный 90</w:t>
      </w:r>
      <w:r>
        <w:t xml:space="preserve"> </w:t>
      </w:r>
      <w:r w:rsidRPr="0069544E">
        <w:t>м3, по школьной котельной</w:t>
      </w:r>
      <w:r>
        <w:t xml:space="preserve"> в</w:t>
      </w:r>
      <w:r w:rsidRPr="0069544E">
        <w:t xml:space="preserve"> п</w:t>
      </w:r>
      <w:r>
        <w:t>осёлке</w:t>
      </w:r>
      <w:proofErr w:type="gramStart"/>
      <w:r w:rsidRPr="0069544E">
        <w:t xml:space="preserve"> Н</w:t>
      </w:r>
      <w:proofErr w:type="gramEnd"/>
      <w:r w:rsidRPr="0069544E">
        <w:t>апас 365 м3.</w:t>
      </w:r>
    </w:p>
    <w:p w:rsidR="00D36C1F" w:rsidRDefault="00D36C1F" w:rsidP="00D36C1F">
      <w:pPr>
        <w:ind w:firstLine="567"/>
        <w:jc w:val="both"/>
      </w:pPr>
      <w:r w:rsidRPr="0069544E">
        <w:t>На отопительный период по май месяц 2023 год</w:t>
      </w:r>
      <w:r>
        <w:t>а</w:t>
      </w:r>
      <w:r w:rsidRPr="0069544E">
        <w:t xml:space="preserve"> </w:t>
      </w:r>
      <w:r>
        <w:t>п</w:t>
      </w:r>
      <w:r w:rsidRPr="0069544E">
        <w:t>отребность в дровах составляет 950 м3 на сумму 1 900 000 руб.</w:t>
      </w:r>
    </w:p>
    <w:p w:rsidR="00D36C1F" w:rsidRPr="0069544E" w:rsidRDefault="00D36C1F" w:rsidP="00D36C1F">
      <w:pPr>
        <w:ind w:firstLine="567"/>
        <w:jc w:val="right"/>
      </w:pPr>
      <w:r>
        <w:lastRenderedPageBreak/>
        <w:t>(кубы,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133"/>
        <w:gridCol w:w="1257"/>
        <w:gridCol w:w="1239"/>
        <w:gridCol w:w="1165"/>
        <w:gridCol w:w="1114"/>
        <w:gridCol w:w="1298"/>
      </w:tblGrid>
      <w:tr w:rsidR="00D36C1F" w:rsidRPr="00A82CF2" w:rsidTr="000E0DE3">
        <w:tc>
          <w:tcPr>
            <w:tcW w:w="2463" w:type="dxa"/>
            <w:vMerge w:val="restart"/>
            <w:shd w:val="clear" w:color="auto" w:fill="auto"/>
          </w:tcPr>
          <w:p w:rsidR="00D36C1F" w:rsidRPr="00A82CF2" w:rsidRDefault="00D36C1F" w:rsidP="000E0DE3">
            <w:pPr>
              <w:jc w:val="center"/>
              <w:rPr>
                <w:b/>
              </w:rPr>
            </w:pPr>
          </w:p>
          <w:p w:rsidR="00D36C1F" w:rsidRPr="00A82CF2" w:rsidRDefault="00D36C1F" w:rsidP="000E0DE3">
            <w:pPr>
              <w:jc w:val="center"/>
              <w:rPr>
                <w:b/>
              </w:rPr>
            </w:pPr>
            <w:r w:rsidRPr="00A82CF2">
              <w:rPr>
                <w:b/>
              </w:rPr>
              <w:t>Период</w:t>
            </w:r>
          </w:p>
        </w:tc>
        <w:tc>
          <w:tcPr>
            <w:tcW w:w="3724" w:type="dxa"/>
            <w:gridSpan w:val="3"/>
            <w:shd w:val="clear" w:color="auto" w:fill="auto"/>
          </w:tcPr>
          <w:p w:rsidR="00D36C1F" w:rsidRDefault="00D36C1F" w:rsidP="000E0DE3">
            <w:pPr>
              <w:jc w:val="center"/>
              <w:rPr>
                <w:b/>
              </w:rPr>
            </w:pPr>
            <w:r w:rsidRPr="00A82CF2">
              <w:rPr>
                <w:b/>
              </w:rPr>
              <w:t xml:space="preserve">Котельная Центральная </w:t>
            </w:r>
          </w:p>
          <w:p w:rsidR="00D36C1F" w:rsidRPr="00A82CF2" w:rsidRDefault="00D36C1F" w:rsidP="000E0DE3">
            <w:pPr>
              <w:jc w:val="center"/>
              <w:rPr>
                <w:b/>
              </w:rPr>
            </w:pPr>
            <w:r w:rsidRPr="00A82CF2">
              <w:rPr>
                <w:b/>
              </w:rPr>
              <w:t>п. Молодежный</w:t>
            </w:r>
          </w:p>
        </w:tc>
        <w:tc>
          <w:tcPr>
            <w:tcW w:w="3668" w:type="dxa"/>
            <w:gridSpan w:val="3"/>
            <w:shd w:val="clear" w:color="auto" w:fill="auto"/>
          </w:tcPr>
          <w:p w:rsidR="00D36C1F" w:rsidRDefault="00D36C1F" w:rsidP="000E0DE3">
            <w:pPr>
              <w:jc w:val="center"/>
              <w:rPr>
                <w:b/>
              </w:rPr>
            </w:pPr>
            <w:r w:rsidRPr="00A82CF2">
              <w:rPr>
                <w:b/>
              </w:rPr>
              <w:t xml:space="preserve">Котельная Школьная  </w:t>
            </w:r>
          </w:p>
          <w:p w:rsidR="00D36C1F" w:rsidRPr="00A82CF2" w:rsidRDefault="00D36C1F" w:rsidP="000E0DE3">
            <w:pPr>
              <w:jc w:val="center"/>
              <w:rPr>
                <w:b/>
              </w:rPr>
            </w:pPr>
            <w:r w:rsidRPr="00A82CF2">
              <w:rPr>
                <w:b/>
              </w:rPr>
              <w:t>п</w:t>
            </w:r>
            <w:r>
              <w:rPr>
                <w:b/>
              </w:rPr>
              <w:t>.</w:t>
            </w:r>
            <w:r w:rsidRPr="00A82CF2">
              <w:rPr>
                <w:b/>
              </w:rPr>
              <w:t xml:space="preserve"> Напас</w:t>
            </w:r>
          </w:p>
        </w:tc>
      </w:tr>
      <w:tr w:rsidR="00D36C1F" w:rsidRPr="0069544E" w:rsidTr="000E0DE3">
        <w:tc>
          <w:tcPr>
            <w:tcW w:w="2463" w:type="dxa"/>
            <w:vMerge/>
            <w:shd w:val="clear" w:color="auto" w:fill="auto"/>
          </w:tcPr>
          <w:p w:rsidR="00D36C1F" w:rsidRPr="0069544E" w:rsidRDefault="00D36C1F" w:rsidP="000E0DE3">
            <w:pPr>
              <w:jc w:val="both"/>
            </w:pPr>
          </w:p>
        </w:tc>
        <w:tc>
          <w:tcPr>
            <w:tcW w:w="1170" w:type="dxa"/>
            <w:shd w:val="clear" w:color="auto" w:fill="auto"/>
          </w:tcPr>
          <w:p w:rsidR="00D36C1F" w:rsidRPr="00A82CF2" w:rsidRDefault="00D36C1F" w:rsidP="000E0DE3">
            <w:pPr>
              <w:jc w:val="center"/>
              <w:rPr>
                <w:b/>
              </w:rPr>
            </w:pPr>
            <w:r w:rsidRPr="00A82CF2">
              <w:rPr>
                <w:b/>
              </w:rPr>
              <w:t xml:space="preserve">Кол - </w:t>
            </w:r>
            <w:proofErr w:type="gramStart"/>
            <w:r w:rsidRPr="00A82CF2">
              <w:rPr>
                <w:b/>
              </w:rPr>
              <w:t>во</w:t>
            </w:r>
            <w:proofErr w:type="gramEnd"/>
          </w:p>
        </w:tc>
        <w:tc>
          <w:tcPr>
            <w:tcW w:w="1294" w:type="dxa"/>
            <w:shd w:val="clear" w:color="auto" w:fill="auto"/>
          </w:tcPr>
          <w:p w:rsidR="00D36C1F" w:rsidRPr="00A82CF2" w:rsidRDefault="00D36C1F" w:rsidP="000E0DE3">
            <w:pPr>
              <w:jc w:val="center"/>
              <w:rPr>
                <w:b/>
              </w:rPr>
            </w:pPr>
            <w:r>
              <w:rPr>
                <w:b/>
              </w:rPr>
              <w:t>Ц</w:t>
            </w:r>
            <w:r w:rsidRPr="00A82CF2">
              <w:rPr>
                <w:b/>
              </w:rPr>
              <w:t>ена</w:t>
            </w:r>
          </w:p>
        </w:tc>
        <w:tc>
          <w:tcPr>
            <w:tcW w:w="1260" w:type="dxa"/>
            <w:shd w:val="clear" w:color="auto" w:fill="auto"/>
          </w:tcPr>
          <w:p w:rsidR="00D36C1F" w:rsidRPr="00A82CF2" w:rsidRDefault="00D36C1F" w:rsidP="000E0DE3">
            <w:pPr>
              <w:jc w:val="center"/>
              <w:rPr>
                <w:b/>
              </w:rPr>
            </w:pPr>
            <w:r>
              <w:rPr>
                <w:b/>
              </w:rPr>
              <w:t>С</w:t>
            </w:r>
            <w:r w:rsidRPr="00A82CF2">
              <w:rPr>
                <w:b/>
              </w:rPr>
              <w:t>умма</w:t>
            </w:r>
          </w:p>
        </w:tc>
        <w:tc>
          <w:tcPr>
            <w:tcW w:w="1204" w:type="dxa"/>
            <w:shd w:val="clear" w:color="auto" w:fill="auto"/>
          </w:tcPr>
          <w:p w:rsidR="00D36C1F" w:rsidRPr="00A82CF2" w:rsidRDefault="00D36C1F" w:rsidP="000E0DE3">
            <w:pPr>
              <w:jc w:val="center"/>
              <w:rPr>
                <w:b/>
              </w:rPr>
            </w:pPr>
            <w:r w:rsidRPr="00A82CF2">
              <w:rPr>
                <w:b/>
              </w:rPr>
              <w:t xml:space="preserve">Кол - </w:t>
            </w:r>
            <w:proofErr w:type="gramStart"/>
            <w:r w:rsidRPr="00A82CF2">
              <w:rPr>
                <w:b/>
              </w:rPr>
              <w:t>во</w:t>
            </w:r>
            <w:proofErr w:type="gramEnd"/>
          </w:p>
        </w:tc>
        <w:tc>
          <w:tcPr>
            <w:tcW w:w="1140" w:type="dxa"/>
            <w:shd w:val="clear" w:color="auto" w:fill="auto"/>
          </w:tcPr>
          <w:p w:rsidR="00D36C1F" w:rsidRPr="00A82CF2" w:rsidRDefault="00D36C1F" w:rsidP="000E0DE3">
            <w:pPr>
              <w:jc w:val="center"/>
              <w:rPr>
                <w:b/>
              </w:rPr>
            </w:pPr>
            <w:r>
              <w:rPr>
                <w:b/>
              </w:rPr>
              <w:t>Ц</w:t>
            </w:r>
            <w:r w:rsidRPr="00A82CF2">
              <w:rPr>
                <w:b/>
              </w:rPr>
              <w:t>ена</w:t>
            </w:r>
          </w:p>
        </w:tc>
        <w:tc>
          <w:tcPr>
            <w:tcW w:w="1324" w:type="dxa"/>
            <w:shd w:val="clear" w:color="auto" w:fill="auto"/>
          </w:tcPr>
          <w:p w:rsidR="00D36C1F" w:rsidRPr="00A82CF2" w:rsidRDefault="00D36C1F" w:rsidP="000E0DE3">
            <w:pPr>
              <w:jc w:val="center"/>
              <w:rPr>
                <w:b/>
              </w:rPr>
            </w:pPr>
            <w:r>
              <w:rPr>
                <w:b/>
              </w:rPr>
              <w:t>С</w:t>
            </w:r>
            <w:r w:rsidRPr="00A82CF2">
              <w:rPr>
                <w:b/>
              </w:rPr>
              <w:t>умма</w:t>
            </w:r>
          </w:p>
        </w:tc>
      </w:tr>
      <w:tr w:rsidR="00D36C1F" w:rsidRPr="0069544E" w:rsidTr="000E0DE3">
        <w:tc>
          <w:tcPr>
            <w:tcW w:w="2463" w:type="dxa"/>
            <w:shd w:val="clear" w:color="auto" w:fill="auto"/>
          </w:tcPr>
          <w:p w:rsidR="00D36C1F" w:rsidRPr="0069544E" w:rsidRDefault="00D36C1F" w:rsidP="000E0DE3">
            <w:pPr>
              <w:jc w:val="both"/>
            </w:pPr>
            <w:r w:rsidRPr="0069544E">
              <w:t>Декабрь 2022 г.</w:t>
            </w:r>
          </w:p>
        </w:tc>
        <w:tc>
          <w:tcPr>
            <w:tcW w:w="1170" w:type="dxa"/>
            <w:shd w:val="clear" w:color="auto" w:fill="auto"/>
          </w:tcPr>
          <w:p w:rsidR="00D36C1F" w:rsidRPr="0069544E" w:rsidRDefault="00D36C1F" w:rsidP="000E0DE3">
            <w:pPr>
              <w:jc w:val="right"/>
            </w:pPr>
            <w:r w:rsidRPr="0069544E">
              <w:t>150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300 000</w:t>
            </w:r>
          </w:p>
        </w:tc>
        <w:tc>
          <w:tcPr>
            <w:tcW w:w="1204" w:type="dxa"/>
            <w:shd w:val="clear" w:color="auto" w:fill="auto"/>
          </w:tcPr>
          <w:p w:rsidR="00D36C1F" w:rsidRPr="0069544E" w:rsidRDefault="00D36C1F" w:rsidP="000E0DE3">
            <w:pPr>
              <w:jc w:val="right"/>
            </w:pPr>
          </w:p>
        </w:tc>
        <w:tc>
          <w:tcPr>
            <w:tcW w:w="1140" w:type="dxa"/>
            <w:shd w:val="clear" w:color="auto" w:fill="auto"/>
          </w:tcPr>
          <w:p w:rsidR="00D36C1F" w:rsidRPr="0069544E" w:rsidRDefault="00D36C1F" w:rsidP="000E0DE3">
            <w:pPr>
              <w:jc w:val="right"/>
            </w:pPr>
          </w:p>
        </w:tc>
        <w:tc>
          <w:tcPr>
            <w:tcW w:w="1324" w:type="dxa"/>
            <w:shd w:val="clear" w:color="auto" w:fill="auto"/>
          </w:tcPr>
          <w:p w:rsidR="00D36C1F" w:rsidRPr="0069544E" w:rsidRDefault="00D36C1F" w:rsidP="000E0DE3">
            <w:pPr>
              <w:jc w:val="right"/>
            </w:pPr>
          </w:p>
        </w:tc>
      </w:tr>
      <w:tr w:rsidR="00D36C1F" w:rsidRPr="0069544E" w:rsidTr="000E0DE3">
        <w:tc>
          <w:tcPr>
            <w:tcW w:w="2463" w:type="dxa"/>
            <w:shd w:val="clear" w:color="auto" w:fill="auto"/>
          </w:tcPr>
          <w:p w:rsidR="00D36C1F" w:rsidRPr="0069544E" w:rsidRDefault="00D36C1F" w:rsidP="000E0DE3">
            <w:pPr>
              <w:jc w:val="both"/>
            </w:pPr>
            <w:r w:rsidRPr="0069544E">
              <w:t>Январь  2023 г.</w:t>
            </w:r>
          </w:p>
        </w:tc>
        <w:tc>
          <w:tcPr>
            <w:tcW w:w="1170" w:type="dxa"/>
            <w:shd w:val="clear" w:color="auto" w:fill="auto"/>
          </w:tcPr>
          <w:p w:rsidR="00D36C1F" w:rsidRPr="0069544E" w:rsidRDefault="00D36C1F" w:rsidP="000E0DE3">
            <w:pPr>
              <w:jc w:val="right"/>
            </w:pPr>
            <w:r w:rsidRPr="0069544E">
              <w:t>250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500 000</w:t>
            </w:r>
          </w:p>
        </w:tc>
        <w:tc>
          <w:tcPr>
            <w:tcW w:w="1204" w:type="dxa"/>
            <w:shd w:val="clear" w:color="auto" w:fill="auto"/>
          </w:tcPr>
          <w:p w:rsidR="00D36C1F" w:rsidRPr="0069544E" w:rsidRDefault="00D36C1F" w:rsidP="000E0DE3">
            <w:pPr>
              <w:jc w:val="right"/>
            </w:pPr>
          </w:p>
        </w:tc>
        <w:tc>
          <w:tcPr>
            <w:tcW w:w="1140" w:type="dxa"/>
            <w:shd w:val="clear" w:color="auto" w:fill="auto"/>
          </w:tcPr>
          <w:p w:rsidR="00D36C1F" w:rsidRPr="0069544E" w:rsidRDefault="00D36C1F" w:rsidP="000E0DE3">
            <w:pPr>
              <w:jc w:val="right"/>
            </w:pPr>
          </w:p>
        </w:tc>
        <w:tc>
          <w:tcPr>
            <w:tcW w:w="1324" w:type="dxa"/>
            <w:shd w:val="clear" w:color="auto" w:fill="auto"/>
          </w:tcPr>
          <w:p w:rsidR="00D36C1F" w:rsidRPr="0069544E" w:rsidRDefault="00D36C1F" w:rsidP="000E0DE3">
            <w:pPr>
              <w:jc w:val="right"/>
            </w:pPr>
          </w:p>
        </w:tc>
      </w:tr>
      <w:tr w:rsidR="00D36C1F" w:rsidRPr="0069544E" w:rsidTr="000E0DE3">
        <w:tc>
          <w:tcPr>
            <w:tcW w:w="2463" w:type="dxa"/>
            <w:shd w:val="clear" w:color="auto" w:fill="auto"/>
          </w:tcPr>
          <w:p w:rsidR="00D36C1F" w:rsidRPr="0069544E" w:rsidRDefault="00D36C1F" w:rsidP="000E0DE3">
            <w:pPr>
              <w:jc w:val="both"/>
            </w:pPr>
            <w:r w:rsidRPr="0069544E">
              <w:t>Февраль 2023 г.</w:t>
            </w:r>
          </w:p>
        </w:tc>
        <w:tc>
          <w:tcPr>
            <w:tcW w:w="1170" w:type="dxa"/>
            <w:shd w:val="clear" w:color="auto" w:fill="auto"/>
          </w:tcPr>
          <w:p w:rsidR="00D36C1F" w:rsidRPr="0069544E" w:rsidRDefault="00D36C1F" w:rsidP="000E0DE3">
            <w:pPr>
              <w:jc w:val="right"/>
            </w:pPr>
            <w:r w:rsidRPr="0069544E">
              <w:t>220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440 000</w:t>
            </w:r>
          </w:p>
        </w:tc>
        <w:tc>
          <w:tcPr>
            <w:tcW w:w="1204" w:type="dxa"/>
            <w:shd w:val="clear" w:color="auto" w:fill="auto"/>
          </w:tcPr>
          <w:p w:rsidR="00D36C1F" w:rsidRPr="0069544E" w:rsidRDefault="00D36C1F" w:rsidP="000E0DE3">
            <w:pPr>
              <w:jc w:val="right"/>
            </w:pPr>
          </w:p>
        </w:tc>
        <w:tc>
          <w:tcPr>
            <w:tcW w:w="1140" w:type="dxa"/>
            <w:shd w:val="clear" w:color="auto" w:fill="auto"/>
          </w:tcPr>
          <w:p w:rsidR="00D36C1F" w:rsidRPr="0069544E" w:rsidRDefault="00D36C1F" w:rsidP="000E0DE3">
            <w:pPr>
              <w:jc w:val="right"/>
            </w:pPr>
          </w:p>
        </w:tc>
        <w:tc>
          <w:tcPr>
            <w:tcW w:w="1324" w:type="dxa"/>
            <w:shd w:val="clear" w:color="auto" w:fill="auto"/>
          </w:tcPr>
          <w:p w:rsidR="00D36C1F" w:rsidRPr="0069544E" w:rsidRDefault="00D36C1F" w:rsidP="000E0DE3">
            <w:pPr>
              <w:jc w:val="right"/>
            </w:pPr>
          </w:p>
        </w:tc>
      </w:tr>
      <w:tr w:rsidR="00D36C1F" w:rsidRPr="0069544E" w:rsidTr="000E0DE3">
        <w:tc>
          <w:tcPr>
            <w:tcW w:w="2463" w:type="dxa"/>
            <w:shd w:val="clear" w:color="auto" w:fill="auto"/>
          </w:tcPr>
          <w:p w:rsidR="00D36C1F" w:rsidRPr="0069544E" w:rsidRDefault="00D36C1F" w:rsidP="000E0DE3">
            <w:pPr>
              <w:jc w:val="both"/>
            </w:pPr>
            <w:r w:rsidRPr="0069544E">
              <w:t>Март 2023 г.</w:t>
            </w:r>
          </w:p>
        </w:tc>
        <w:tc>
          <w:tcPr>
            <w:tcW w:w="1170" w:type="dxa"/>
            <w:shd w:val="clear" w:color="auto" w:fill="auto"/>
          </w:tcPr>
          <w:p w:rsidR="00D36C1F" w:rsidRPr="0069544E" w:rsidRDefault="00D36C1F" w:rsidP="000E0DE3">
            <w:pPr>
              <w:jc w:val="right"/>
            </w:pPr>
            <w:r w:rsidRPr="0069544E">
              <w:t>110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220 000</w:t>
            </w:r>
          </w:p>
        </w:tc>
        <w:tc>
          <w:tcPr>
            <w:tcW w:w="1204" w:type="dxa"/>
            <w:shd w:val="clear" w:color="auto" w:fill="auto"/>
          </w:tcPr>
          <w:p w:rsidR="00D36C1F" w:rsidRPr="0069544E" w:rsidRDefault="00D36C1F" w:rsidP="000E0DE3">
            <w:pPr>
              <w:jc w:val="right"/>
            </w:pPr>
            <w:r w:rsidRPr="0069544E">
              <w:t>50</w:t>
            </w:r>
          </w:p>
        </w:tc>
        <w:tc>
          <w:tcPr>
            <w:tcW w:w="1140" w:type="dxa"/>
            <w:shd w:val="clear" w:color="auto" w:fill="auto"/>
          </w:tcPr>
          <w:p w:rsidR="00D36C1F" w:rsidRPr="0069544E" w:rsidRDefault="00D36C1F" w:rsidP="000E0DE3">
            <w:pPr>
              <w:jc w:val="right"/>
            </w:pPr>
            <w:r w:rsidRPr="0069544E">
              <w:t>2000</w:t>
            </w:r>
          </w:p>
        </w:tc>
        <w:tc>
          <w:tcPr>
            <w:tcW w:w="1324" w:type="dxa"/>
            <w:shd w:val="clear" w:color="auto" w:fill="auto"/>
          </w:tcPr>
          <w:p w:rsidR="00D36C1F" w:rsidRPr="0069544E" w:rsidRDefault="00D36C1F" w:rsidP="000E0DE3">
            <w:pPr>
              <w:jc w:val="right"/>
            </w:pPr>
            <w:r w:rsidRPr="0069544E">
              <w:t>100 000</w:t>
            </w:r>
          </w:p>
        </w:tc>
      </w:tr>
      <w:tr w:rsidR="00D36C1F" w:rsidRPr="0069544E" w:rsidTr="000E0DE3">
        <w:tc>
          <w:tcPr>
            <w:tcW w:w="2463" w:type="dxa"/>
            <w:shd w:val="clear" w:color="auto" w:fill="auto"/>
          </w:tcPr>
          <w:p w:rsidR="00D36C1F" w:rsidRPr="0069544E" w:rsidRDefault="00D36C1F" w:rsidP="000E0DE3">
            <w:pPr>
              <w:jc w:val="both"/>
            </w:pPr>
            <w:r w:rsidRPr="0069544E">
              <w:t>Апрель 2023 г.</w:t>
            </w:r>
          </w:p>
        </w:tc>
        <w:tc>
          <w:tcPr>
            <w:tcW w:w="1170" w:type="dxa"/>
            <w:shd w:val="clear" w:color="auto" w:fill="auto"/>
          </w:tcPr>
          <w:p w:rsidR="00D36C1F" w:rsidRPr="0069544E" w:rsidRDefault="00D36C1F" w:rsidP="000E0DE3">
            <w:pPr>
              <w:jc w:val="right"/>
            </w:pPr>
            <w:r w:rsidRPr="0069544E">
              <w:t>80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160 000</w:t>
            </w:r>
          </w:p>
        </w:tc>
        <w:tc>
          <w:tcPr>
            <w:tcW w:w="1204" w:type="dxa"/>
            <w:shd w:val="clear" w:color="auto" w:fill="auto"/>
          </w:tcPr>
          <w:p w:rsidR="00D36C1F" w:rsidRPr="0069544E" w:rsidRDefault="00D36C1F" w:rsidP="000E0DE3">
            <w:pPr>
              <w:jc w:val="right"/>
            </w:pPr>
            <w:r w:rsidRPr="0069544E">
              <w:t>40</w:t>
            </w:r>
          </w:p>
        </w:tc>
        <w:tc>
          <w:tcPr>
            <w:tcW w:w="1140" w:type="dxa"/>
            <w:shd w:val="clear" w:color="auto" w:fill="auto"/>
          </w:tcPr>
          <w:p w:rsidR="00D36C1F" w:rsidRPr="0069544E" w:rsidRDefault="00D36C1F" w:rsidP="000E0DE3">
            <w:pPr>
              <w:jc w:val="right"/>
            </w:pPr>
            <w:r w:rsidRPr="0069544E">
              <w:t>2000</w:t>
            </w:r>
          </w:p>
        </w:tc>
        <w:tc>
          <w:tcPr>
            <w:tcW w:w="1324" w:type="dxa"/>
            <w:shd w:val="clear" w:color="auto" w:fill="auto"/>
          </w:tcPr>
          <w:p w:rsidR="00D36C1F" w:rsidRPr="0069544E" w:rsidRDefault="00D36C1F" w:rsidP="000E0DE3">
            <w:pPr>
              <w:jc w:val="right"/>
            </w:pPr>
            <w:r w:rsidRPr="0069544E">
              <w:t>80 000</w:t>
            </w:r>
          </w:p>
        </w:tc>
      </w:tr>
      <w:tr w:rsidR="00D36C1F" w:rsidRPr="0069544E" w:rsidTr="000E0DE3">
        <w:tc>
          <w:tcPr>
            <w:tcW w:w="2463" w:type="dxa"/>
            <w:shd w:val="clear" w:color="auto" w:fill="auto"/>
          </w:tcPr>
          <w:p w:rsidR="00D36C1F" w:rsidRPr="0069544E" w:rsidRDefault="00D36C1F" w:rsidP="000E0DE3">
            <w:pPr>
              <w:jc w:val="both"/>
            </w:pPr>
            <w:r w:rsidRPr="0069544E">
              <w:t>Май 2023 г.</w:t>
            </w:r>
          </w:p>
        </w:tc>
        <w:tc>
          <w:tcPr>
            <w:tcW w:w="1170" w:type="dxa"/>
            <w:shd w:val="clear" w:color="auto" w:fill="auto"/>
          </w:tcPr>
          <w:p w:rsidR="00D36C1F" w:rsidRPr="0069544E" w:rsidRDefault="00D36C1F" w:rsidP="000E0DE3">
            <w:pPr>
              <w:jc w:val="right"/>
            </w:pPr>
            <w:r w:rsidRPr="0069544E">
              <w:t>30</w:t>
            </w:r>
          </w:p>
        </w:tc>
        <w:tc>
          <w:tcPr>
            <w:tcW w:w="1294" w:type="dxa"/>
            <w:shd w:val="clear" w:color="auto" w:fill="auto"/>
          </w:tcPr>
          <w:p w:rsidR="00D36C1F" w:rsidRPr="0069544E" w:rsidRDefault="00D36C1F" w:rsidP="000E0DE3">
            <w:pPr>
              <w:jc w:val="right"/>
            </w:pPr>
            <w:r w:rsidRPr="0069544E">
              <w:t>2000</w:t>
            </w:r>
          </w:p>
        </w:tc>
        <w:tc>
          <w:tcPr>
            <w:tcW w:w="1260" w:type="dxa"/>
            <w:shd w:val="clear" w:color="auto" w:fill="auto"/>
          </w:tcPr>
          <w:p w:rsidR="00D36C1F" w:rsidRPr="0069544E" w:rsidRDefault="00D36C1F" w:rsidP="000E0DE3">
            <w:pPr>
              <w:jc w:val="right"/>
            </w:pPr>
            <w:r w:rsidRPr="0069544E">
              <w:t>60 000</w:t>
            </w:r>
          </w:p>
        </w:tc>
        <w:tc>
          <w:tcPr>
            <w:tcW w:w="1204" w:type="dxa"/>
            <w:shd w:val="clear" w:color="auto" w:fill="auto"/>
          </w:tcPr>
          <w:p w:rsidR="00D36C1F" w:rsidRPr="0069544E" w:rsidRDefault="00D36C1F" w:rsidP="000E0DE3">
            <w:pPr>
              <w:jc w:val="right"/>
            </w:pPr>
            <w:r w:rsidRPr="0069544E">
              <w:t>20</w:t>
            </w:r>
          </w:p>
        </w:tc>
        <w:tc>
          <w:tcPr>
            <w:tcW w:w="1140" w:type="dxa"/>
            <w:shd w:val="clear" w:color="auto" w:fill="auto"/>
          </w:tcPr>
          <w:p w:rsidR="00D36C1F" w:rsidRPr="0069544E" w:rsidRDefault="00D36C1F" w:rsidP="000E0DE3">
            <w:pPr>
              <w:jc w:val="right"/>
            </w:pPr>
            <w:r w:rsidRPr="0069544E">
              <w:t>2000</w:t>
            </w:r>
          </w:p>
        </w:tc>
        <w:tc>
          <w:tcPr>
            <w:tcW w:w="1324" w:type="dxa"/>
            <w:shd w:val="clear" w:color="auto" w:fill="auto"/>
          </w:tcPr>
          <w:p w:rsidR="00D36C1F" w:rsidRPr="0069544E" w:rsidRDefault="00D36C1F" w:rsidP="000E0DE3">
            <w:pPr>
              <w:jc w:val="right"/>
            </w:pPr>
            <w:r w:rsidRPr="0069544E">
              <w:t>40 000</w:t>
            </w:r>
          </w:p>
        </w:tc>
      </w:tr>
      <w:tr w:rsidR="00D36C1F" w:rsidRPr="00EA1362" w:rsidTr="000E0DE3">
        <w:tc>
          <w:tcPr>
            <w:tcW w:w="2463" w:type="dxa"/>
            <w:shd w:val="clear" w:color="auto" w:fill="auto"/>
          </w:tcPr>
          <w:p w:rsidR="00D36C1F" w:rsidRPr="00EA1362" w:rsidRDefault="00D36C1F" w:rsidP="000E0DE3">
            <w:pPr>
              <w:jc w:val="both"/>
              <w:rPr>
                <w:b/>
              </w:rPr>
            </w:pPr>
            <w:r w:rsidRPr="00EA1362">
              <w:rPr>
                <w:b/>
              </w:rPr>
              <w:t>Итого:</w:t>
            </w:r>
          </w:p>
        </w:tc>
        <w:tc>
          <w:tcPr>
            <w:tcW w:w="1170" w:type="dxa"/>
            <w:shd w:val="clear" w:color="auto" w:fill="auto"/>
          </w:tcPr>
          <w:p w:rsidR="00D36C1F" w:rsidRPr="00EA1362" w:rsidRDefault="00D36C1F" w:rsidP="000E0DE3">
            <w:pPr>
              <w:jc w:val="right"/>
              <w:rPr>
                <w:b/>
              </w:rPr>
            </w:pPr>
            <w:r w:rsidRPr="00EA1362">
              <w:rPr>
                <w:b/>
              </w:rPr>
              <w:t>840</w:t>
            </w:r>
          </w:p>
        </w:tc>
        <w:tc>
          <w:tcPr>
            <w:tcW w:w="1294" w:type="dxa"/>
            <w:shd w:val="clear" w:color="auto" w:fill="auto"/>
          </w:tcPr>
          <w:p w:rsidR="00D36C1F" w:rsidRPr="00EA1362" w:rsidRDefault="00D36C1F" w:rsidP="000E0DE3">
            <w:pPr>
              <w:jc w:val="right"/>
              <w:rPr>
                <w:b/>
              </w:rPr>
            </w:pPr>
            <w:r w:rsidRPr="00EA1362">
              <w:rPr>
                <w:b/>
              </w:rPr>
              <w:t>2000</w:t>
            </w:r>
          </w:p>
        </w:tc>
        <w:tc>
          <w:tcPr>
            <w:tcW w:w="1260" w:type="dxa"/>
            <w:shd w:val="clear" w:color="auto" w:fill="auto"/>
          </w:tcPr>
          <w:p w:rsidR="00D36C1F" w:rsidRPr="00EA1362" w:rsidRDefault="00D36C1F" w:rsidP="000E0DE3">
            <w:pPr>
              <w:jc w:val="right"/>
              <w:rPr>
                <w:b/>
              </w:rPr>
            </w:pPr>
            <w:r w:rsidRPr="00EA1362">
              <w:rPr>
                <w:b/>
              </w:rPr>
              <w:t>1 680 000</w:t>
            </w:r>
          </w:p>
        </w:tc>
        <w:tc>
          <w:tcPr>
            <w:tcW w:w="1204" w:type="dxa"/>
            <w:shd w:val="clear" w:color="auto" w:fill="auto"/>
          </w:tcPr>
          <w:p w:rsidR="00D36C1F" w:rsidRPr="00EA1362" w:rsidRDefault="00D36C1F" w:rsidP="000E0DE3">
            <w:pPr>
              <w:jc w:val="right"/>
              <w:rPr>
                <w:b/>
              </w:rPr>
            </w:pPr>
            <w:r w:rsidRPr="00EA1362">
              <w:rPr>
                <w:b/>
              </w:rPr>
              <w:t>110</w:t>
            </w:r>
          </w:p>
        </w:tc>
        <w:tc>
          <w:tcPr>
            <w:tcW w:w="1140" w:type="dxa"/>
            <w:shd w:val="clear" w:color="auto" w:fill="auto"/>
          </w:tcPr>
          <w:p w:rsidR="00D36C1F" w:rsidRPr="00EA1362" w:rsidRDefault="00D36C1F" w:rsidP="000E0DE3">
            <w:pPr>
              <w:jc w:val="right"/>
              <w:rPr>
                <w:b/>
              </w:rPr>
            </w:pPr>
            <w:r w:rsidRPr="00EA1362">
              <w:rPr>
                <w:b/>
              </w:rPr>
              <w:t>2000</w:t>
            </w:r>
          </w:p>
        </w:tc>
        <w:tc>
          <w:tcPr>
            <w:tcW w:w="1324" w:type="dxa"/>
            <w:shd w:val="clear" w:color="auto" w:fill="auto"/>
          </w:tcPr>
          <w:p w:rsidR="00D36C1F" w:rsidRPr="00EA1362" w:rsidRDefault="00D36C1F" w:rsidP="000E0DE3">
            <w:pPr>
              <w:jc w:val="right"/>
              <w:rPr>
                <w:b/>
              </w:rPr>
            </w:pPr>
            <w:r w:rsidRPr="00EA1362">
              <w:rPr>
                <w:b/>
              </w:rPr>
              <w:t>220 000</w:t>
            </w:r>
          </w:p>
        </w:tc>
      </w:tr>
    </w:tbl>
    <w:p w:rsidR="00D36C1F" w:rsidRPr="0069544E" w:rsidRDefault="00D36C1F" w:rsidP="00D36C1F">
      <w:pPr>
        <w:ind w:firstLine="708"/>
        <w:jc w:val="both"/>
      </w:pPr>
    </w:p>
    <w:p w:rsidR="00D36C1F" w:rsidRPr="0069544E" w:rsidRDefault="00D36C1F" w:rsidP="00D36C1F">
      <w:pPr>
        <w:ind w:firstLine="567"/>
        <w:jc w:val="both"/>
      </w:pPr>
      <w:proofErr w:type="gramStart"/>
      <w:r w:rsidRPr="0069544E">
        <w:t>Всего по двум котельным необходимо</w:t>
      </w:r>
      <w:r>
        <w:t xml:space="preserve"> приобрести</w:t>
      </w:r>
      <w:r w:rsidRPr="0069544E">
        <w:t xml:space="preserve"> дров для обеспечения теплом социальны</w:t>
      </w:r>
      <w:r>
        <w:t>х</w:t>
      </w:r>
      <w:r w:rsidRPr="0069544E">
        <w:t xml:space="preserve"> объект</w:t>
      </w:r>
      <w:r>
        <w:t>ов</w:t>
      </w:r>
      <w:r w:rsidRPr="0069544E">
        <w:t xml:space="preserve"> </w:t>
      </w:r>
      <w:r>
        <w:t>в размере</w:t>
      </w:r>
      <w:r w:rsidRPr="0069544E">
        <w:t xml:space="preserve"> 950 м3 (840 +</w:t>
      </w:r>
      <w:r>
        <w:t xml:space="preserve"> 110</w:t>
      </w:r>
      <w:r w:rsidRPr="0069544E">
        <w:t>) по цене 2</w:t>
      </w:r>
      <w:r>
        <w:t xml:space="preserve"> </w:t>
      </w:r>
      <w:r w:rsidRPr="0069544E">
        <w:t xml:space="preserve">000 руб. за 1 м3 на сумму </w:t>
      </w:r>
      <w:r w:rsidRPr="00440711">
        <w:t>1 900 000</w:t>
      </w:r>
      <w:r w:rsidRPr="0069544E">
        <w:t xml:space="preserve"> руб. </w:t>
      </w:r>
      <w:r>
        <w:t>По причине сложного финансового положения Предприятия и высокую кредиторскую задолженность, д</w:t>
      </w:r>
      <w:r w:rsidRPr="0069544E">
        <w:t xml:space="preserve">енежные средства у </w:t>
      </w:r>
      <w:r>
        <w:t>него</w:t>
      </w:r>
      <w:r w:rsidRPr="0069544E">
        <w:t xml:space="preserve"> на закупку дров отсутствуют</w:t>
      </w:r>
      <w:r>
        <w:t>, что ставит под угрозу отопительный сезон.</w:t>
      </w:r>
      <w:proofErr w:type="gramEnd"/>
    </w:p>
    <w:p w:rsidR="00D36C1F" w:rsidRDefault="00D36C1F" w:rsidP="00D36C1F">
      <w:pPr>
        <w:ind w:firstLine="567"/>
        <w:rPr>
          <w:b/>
        </w:rPr>
      </w:pPr>
    </w:p>
    <w:p w:rsidR="00D36C1F" w:rsidRPr="0069544E" w:rsidRDefault="00D36C1F" w:rsidP="00D36C1F">
      <w:pPr>
        <w:ind w:firstLine="567"/>
        <w:rPr>
          <w:b/>
        </w:rPr>
      </w:pPr>
      <w:r w:rsidRPr="0069544E">
        <w:rPr>
          <w:b/>
        </w:rPr>
        <w:t>По виду деятельности</w:t>
      </w:r>
      <w:r>
        <w:rPr>
          <w:b/>
        </w:rPr>
        <w:t>:</w:t>
      </w:r>
      <w:r w:rsidRPr="0069544E">
        <w:rPr>
          <w:b/>
        </w:rPr>
        <w:t xml:space="preserve"> Электроснабжение от дизельных электростанций.</w:t>
      </w:r>
    </w:p>
    <w:p w:rsidR="00D36C1F" w:rsidRDefault="00D36C1F" w:rsidP="00D36C1F">
      <w:pPr>
        <w:ind w:firstLine="567"/>
        <w:jc w:val="both"/>
      </w:pPr>
    </w:p>
    <w:p w:rsidR="00D36C1F" w:rsidRDefault="00D36C1F" w:rsidP="00D36C1F">
      <w:pPr>
        <w:ind w:firstLine="567"/>
        <w:jc w:val="both"/>
      </w:pPr>
      <w:r>
        <w:t>В феврале 2022 года была произведена закупка дизельного топлива у предприятия ООО «</w:t>
      </w:r>
      <w:proofErr w:type="gramStart"/>
      <w:r>
        <w:t>Транс–Логистик</w:t>
      </w:r>
      <w:proofErr w:type="gramEnd"/>
      <w:r>
        <w:t xml:space="preserve">» в количестве 402,852 тн по цене 72 500 руб. на сумму 29 187 195 рублей. </w:t>
      </w:r>
      <w:proofErr w:type="gramStart"/>
      <w:r>
        <w:t xml:space="preserve">Департаментом тарифного регулирования при расчете тарифа на электрическую энергию принято дизельное топливо в количестве 371,1448 тн по цене 70 852,99 руб. на сумму </w:t>
      </w:r>
      <w:r w:rsidRPr="00F17C59">
        <w:rPr>
          <w:u w:val="single"/>
        </w:rPr>
        <w:t>26 297 090</w:t>
      </w:r>
      <w:r>
        <w:t xml:space="preserve"> руб. По предварительным </w:t>
      </w:r>
      <w:r w:rsidRPr="007134F4">
        <w:t>данным (с учетом фактического расхода топлива с января по октябрь 2022 года) предприятием за 2022 год будет израсходовано</w:t>
      </w:r>
      <w:r>
        <w:t xml:space="preserve"> дизельное топливо в количестве 392,814 тн по цене 72 500 за тонну.</w:t>
      </w:r>
      <w:proofErr w:type="gramEnd"/>
      <w:r>
        <w:t xml:space="preserve"> Сумма по статье затрат Топливо составит </w:t>
      </w:r>
      <w:r w:rsidRPr="00F17C59">
        <w:rPr>
          <w:u w:val="single"/>
        </w:rPr>
        <w:t>28 479 015</w:t>
      </w:r>
      <w:r>
        <w:t xml:space="preserve"> руб. Таким образом, расходы, не включенные в тариф на 2022 год по статье «Топливо», сложатся в размере </w:t>
      </w:r>
      <w:r w:rsidRPr="00530050">
        <w:rPr>
          <w:b/>
        </w:rPr>
        <w:t>2 181 925</w:t>
      </w:r>
      <w:r>
        <w:t xml:space="preserve"> руб.</w:t>
      </w:r>
      <w:r w:rsidRPr="0069544E">
        <w:t xml:space="preserve"> (28 479</w:t>
      </w:r>
      <w:r>
        <w:t> </w:t>
      </w:r>
      <w:r w:rsidRPr="0069544E">
        <w:t>015</w:t>
      </w:r>
      <w:r>
        <w:t xml:space="preserve"> </w:t>
      </w:r>
      <w:r w:rsidRPr="0069544E">
        <w:t>-26 297 090)</w:t>
      </w:r>
      <w:r>
        <w:t>.</w:t>
      </w:r>
    </w:p>
    <w:p w:rsidR="00D36C1F" w:rsidRDefault="00D36C1F" w:rsidP="00D36C1F">
      <w:pPr>
        <w:ind w:firstLine="567"/>
        <w:rPr>
          <w:b/>
          <w:sz w:val="28"/>
          <w:szCs w:val="28"/>
        </w:rPr>
      </w:pPr>
    </w:p>
    <w:p w:rsidR="00D36C1F" w:rsidRPr="00530050" w:rsidRDefault="00D36C1F" w:rsidP="00D36C1F">
      <w:pPr>
        <w:ind w:firstLine="567"/>
        <w:jc w:val="both"/>
        <w:rPr>
          <w:szCs w:val="28"/>
        </w:rPr>
      </w:pPr>
      <w:r w:rsidRPr="00530050">
        <w:rPr>
          <w:szCs w:val="28"/>
        </w:rPr>
        <w:t xml:space="preserve">Всего по предприятию затраты не вошедшие в тарифы и повлекшие тяжелое финансовое положение предприятия составляют </w:t>
      </w:r>
      <w:r w:rsidRPr="00F17C59">
        <w:rPr>
          <w:b/>
          <w:szCs w:val="28"/>
        </w:rPr>
        <w:t>4 374 712,4</w:t>
      </w:r>
      <w:r w:rsidRPr="00530050">
        <w:rPr>
          <w:szCs w:val="28"/>
        </w:rPr>
        <w:t xml:space="preserve"> руб.</w:t>
      </w:r>
      <w:r>
        <w:rPr>
          <w:szCs w:val="28"/>
        </w:rPr>
        <w:t xml:space="preserve"> (</w:t>
      </w:r>
      <w:r w:rsidRPr="00F17C59">
        <w:t>2 061</w:t>
      </w:r>
      <w:r>
        <w:t> </w:t>
      </w:r>
      <w:r w:rsidRPr="00F17C59">
        <w:t>850</w:t>
      </w:r>
      <w:r>
        <w:t xml:space="preserve"> + 130 937,4 + </w:t>
      </w:r>
      <w:r w:rsidRPr="00440711">
        <w:t>2 181</w:t>
      </w:r>
      <w:r>
        <w:t> </w:t>
      </w:r>
      <w:r w:rsidRPr="00440711">
        <w:t>925</w:t>
      </w:r>
      <w:r>
        <w:t>).</w:t>
      </w:r>
    </w:p>
    <w:p w:rsidR="00D36C1F" w:rsidRDefault="00D36C1F" w:rsidP="00D36C1F">
      <w:pPr>
        <w:ind w:firstLine="567"/>
        <w:jc w:val="both"/>
      </w:pPr>
    </w:p>
    <w:p w:rsidR="00D36C1F" w:rsidRDefault="00D36C1F" w:rsidP="00D36C1F">
      <w:pPr>
        <w:ind w:firstLine="567"/>
        <w:jc w:val="both"/>
      </w:pPr>
      <w:r w:rsidRPr="002D25EF">
        <w:t>Кроме того, у предприятия имеется следующая задолженность на 1</w:t>
      </w:r>
      <w:r>
        <w:t xml:space="preserve"> ноября</w:t>
      </w:r>
      <w:r w:rsidRPr="002D25EF">
        <w:t xml:space="preserve"> 2022 год</w:t>
      </w:r>
      <w:r>
        <w:t>а</w:t>
      </w:r>
      <w:r w:rsidRPr="002D25EF">
        <w:t xml:space="preserve">: </w:t>
      </w:r>
    </w:p>
    <w:p w:rsidR="00D36C1F" w:rsidRDefault="00D36C1F" w:rsidP="00D36C1F">
      <w:pPr>
        <w:ind w:firstLine="567"/>
        <w:jc w:val="both"/>
      </w:pPr>
      <w:r>
        <w:t xml:space="preserve">- по </w:t>
      </w:r>
      <w:r w:rsidRPr="002D25EF">
        <w:t>ИП Ахмед-Оглы С. В. сумма долга</w:t>
      </w:r>
      <w:r>
        <w:t xml:space="preserve"> </w:t>
      </w:r>
      <w:r w:rsidRPr="002D25EF">
        <w:t xml:space="preserve">за дрова </w:t>
      </w:r>
      <w:r>
        <w:t>составляет</w:t>
      </w:r>
      <w:r w:rsidRPr="002D25EF">
        <w:t xml:space="preserve"> </w:t>
      </w:r>
      <w:r w:rsidRPr="00B9337B">
        <w:rPr>
          <w:u w:val="single"/>
        </w:rPr>
        <w:t>3 077 256,44</w:t>
      </w:r>
      <w:r w:rsidRPr="002D25EF">
        <w:t xml:space="preserve"> руб., в том числе </w:t>
      </w:r>
      <w:r>
        <w:t>за</w:t>
      </w:r>
      <w:r w:rsidRPr="002D25EF">
        <w:t xml:space="preserve"> 2021 год </w:t>
      </w:r>
      <w:r>
        <w:t>-</w:t>
      </w:r>
      <w:r w:rsidRPr="002D25EF">
        <w:t xml:space="preserve"> 2</w:t>
      </w:r>
      <w:r>
        <w:t xml:space="preserve"> </w:t>
      </w:r>
      <w:r w:rsidRPr="002D25EF">
        <w:t>058</w:t>
      </w:r>
      <w:r>
        <w:t xml:space="preserve"> </w:t>
      </w:r>
      <w:r w:rsidRPr="002D25EF">
        <w:t xml:space="preserve">852,44 руб., за 2022 год </w:t>
      </w:r>
      <w:r>
        <w:t>-</w:t>
      </w:r>
      <w:r w:rsidRPr="002D25EF">
        <w:t xml:space="preserve"> 1</w:t>
      </w:r>
      <w:r>
        <w:t xml:space="preserve"> </w:t>
      </w:r>
      <w:r w:rsidRPr="002D25EF">
        <w:t>018</w:t>
      </w:r>
      <w:r>
        <w:t xml:space="preserve"> 404 руб.;</w:t>
      </w:r>
    </w:p>
    <w:p w:rsidR="00D36C1F" w:rsidRDefault="00D36C1F" w:rsidP="00D36C1F">
      <w:pPr>
        <w:ind w:firstLine="567"/>
        <w:jc w:val="both"/>
      </w:pPr>
      <w:r>
        <w:t>- п</w:t>
      </w:r>
      <w:proofErr w:type="gramStart"/>
      <w:r>
        <w:t xml:space="preserve">о </w:t>
      </w:r>
      <w:r w:rsidRPr="002D25EF">
        <w:t>ООО</w:t>
      </w:r>
      <w:proofErr w:type="gramEnd"/>
      <w:r w:rsidRPr="002D25EF">
        <w:t xml:space="preserve"> «Транс–Логистика»</w:t>
      </w:r>
      <w:r>
        <w:t xml:space="preserve"> </w:t>
      </w:r>
      <w:r w:rsidRPr="002D25EF">
        <w:t>сумма долга за дизтопливо, закупленное в феврале 2022 года</w:t>
      </w:r>
      <w:r>
        <w:t>,</w:t>
      </w:r>
      <w:r w:rsidRPr="002D25EF">
        <w:t xml:space="preserve"> </w:t>
      </w:r>
      <w:r>
        <w:t>составляет</w:t>
      </w:r>
      <w:r w:rsidRPr="002D25EF">
        <w:t xml:space="preserve"> </w:t>
      </w:r>
      <w:r w:rsidRPr="00B9337B">
        <w:rPr>
          <w:u w:val="single"/>
        </w:rPr>
        <w:t>7 198 023,05</w:t>
      </w:r>
      <w:r>
        <w:t xml:space="preserve"> руб.;</w:t>
      </w:r>
    </w:p>
    <w:p w:rsidR="00D36C1F" w:rsidRDefault="00D36C1F" w:rsidP="00D36C1F">
      <w:pPr>
        <w:ind w:firstLine="567"/>
        <w:jc w:val="both"/>
      </w:pPr>
      <w:r>
        <w:t>-</w:t>
      </w:r>
      <w:r w:rsidRPr="002D25EF">
        <w:t xml:space="preserve"> по заработной плате задолженность на 1</w:t>
      </w:r>
      <w:r>
        <w:t xml:space="preserve"> ноября </w:t>
      </w:r>
      <w:r w:rsidRPr="002D25EF">
        <w:t>2022</w:t>
      </w:r>
      <w:r>
        <w:t xml:space="preserve"> года</w:t>
      </w:r>
      <w:r w:rsidRPr="002D25EF">
        <w:t xml:space="preserve"> составляет </w:t>
      </w:r>
      <w:r w:rsidRPr="00B9337B">
        <w:rPr>
          <w:u w:val="single"/>
        </w:rPr>
        <w:t>4 574 721</w:t>
      </w:r>
      <w:r>
        <w:t xml:space="preserve"> руб.</w:t>
      </w:r>
      <w:r w:rsidRPr="002D25EF">
        <w:t xml:space="preserve"> за период</w:t>
      </w:r>
      <w:r>
        <w:t xml:space="preserve"> с августа по октябрь 2022 года;</w:t>
      </w:r>
    </w:p>
    <w:p w:rsidR="00D36C1F" w:rsidRDefault="00D36C1F" w:rsidP="00D36C1F">
      <w:pPr>
        <w:ind w:firstLine="567"/>
        <w:jc w:val="both"/>
      </w:pPr>
      <w:r>
        <w:t>-</w:t>
      </w:r>
      <w:r w:rsidRPr="002D25EF">
        <w:t xml:space="preserve"> по налогам задолженность с июля по октябрь 2022 составляет </w:t>
      </w:r>
      <w:r w:rsidRPr="00B9337B">
        <w:rPr>
          <w:u w:val="single"/>
        </w:rPr>
        <w:t>2 263 000</w:t>
      </w:r>
      <w:r w:rsidRPr="002D25EF">
        <w:t xml:space="preserve"> руб. </w:t>
      </w:r>
    </w:p>
    <w:p w:rsidR="00D36C1F" w:rsidRPr="002D25EF" w:rsidRDefault="00D36C1F" w:rsidP="00D36C1F">
      <w:pPr>
        <w:ind w:firstLine="567"/>
        <w:jc w:val="both"/>
      </w:pPr>
      <w:r>
        <w:t>О</w:t>
      </w:r>
      <w:r w:rsidRPr="002D25EF">
        <w:t>бщая сумма кредиторской задолженности</w:t>
      </w:r>
      <w:r>
        <w:t xml:space="preserve"> по состоянию </w:t>
      </w:r>
      <w:r w:rsidRPr="002D25EF">
        <w:t>на 1</w:t>
      </w:r>
      <w:r>
        <w:t xml:space="preserve"> ноября</w:t>
      </w:r>
      <w:r w:rsidRPr="002D25EF">
        <w:t xml:space="preserve"> 2022 год</w:t>
      </w:r>
      <w:r>
        <w:t xml:space="preserve">а </w:t>
      </w:r>
      <w:r w:rsidRPr="002D25EF">
        <w:t xml:space="preserve"> составляет </w:t>
      </w:r>
      <w:r w:rsidRPr="00B9337B">
        <w:rPr>
          <w:b/>
        </w:rPr>
        <w:t>17 113 000,49</w:t>
      </w:r>
      <w:r w:rsidRPr="002D25EF">
        <w:t xml:space="preserve"> руб. (3 077 256,44</w:t>
      </w:r>
      <w:r>
        <w:t xml:space="preserve"> </w:t>
      </w:r>
      <w:r w:rsidRPr="002D25EF">
        <w:t>+</w:t>
      </w:r>
      <w:r>
        <w:t xml:space="preserve"> </w:t>
      </w:r>
      <w:r w:rsidRPr="002D25EF">
        <w:t>7</w:t>
      </w:r>
      <w:r>
        <w:t xml:space="preserve"> </w:t>
      </w:r>
      <w:r w:rsidRPr="002D25EF">
        <w:t>198</w:t>
      </w:r>
      <w:r>
        <w:t xml:space="preserve"> </w:t>
      </w:r>
      <w:r w:rsidRPr="002D25EF">
        <w:t>023,05 +</w:t>
      </w:r>
      <w:r>
        <w:t xml:space="preserve"> </w:t>
      </w:r>
      <w:r w:rsidRPr="002D25EF">
        <w:t>4 574 721 +</w:t>
      </w:r>
      <w:r>
        <w:t xml:space="preserve"> </w:t>
      </w:r>
      <w:r w:rsidRPr="002D25EF">
        <w:t>2 263 000)</w:t>
      </w:r>
      <w:r>
        <w:t>.</w:t>
      </w:r>
    </w:p>
    <w:p w:rsidR="00D36C1F" w:rsidRPr="00EE1F1B" w:rsidRDefault="00D36C1F" w:rsidP="00D36C1F">
      <w:pPr>
        <w:ind w:firstLine="567"/>
        <w:jc w:val="both"/>
        <w:rPr>
          <w:b/>
        </w:rPr>
      </w:pPr>
    </w:p>
    <w:p w:rsidR="00D36C1F" w:rsidRDefault="00D36C1F" w:rsidP="00D36C1F">
      <w:pPr>
        <w:ind w:firstLine="567"/>
        <w:jc w:val="both"/>
      </w:pPr>
      <w:r>
        <w:t xml:space="preserve">За период с ноября по декабрь 2022 года на выплату заработной платы дополнительно необходимо еще </w:t>
      </w:r>
      <w:r w:rsidRPr="00526DC8">
        <w:rPr>
          <w:b/>
        </w:rPr>
        <w:t>3 800 000</w:t>
      </w:r>
      <w:r>
        <w:t xml:space="preserve"> руб. и на погашение налогов по заработной плате </w:t>
      </w:r>
      <w:r w:rsidRPr="00526DC8">
        <w:rPr>
          <w:b/>
        </w:rPr>
        <w:t>1 148 000</w:t>
      </w:r>
      <w:r>
        <w:t xml:space="preserve"> рублей. </w:t>
      </w:r>
    </w:p>
    <w:p w:rsidR="00D36C1F" w:rsidRDefault="00D36C1F" w:rsidP="00D36C1F">
      <w:pPr>
        <w:ind w:firstLine="567"/>
        <w:jc w:val="both"/>
      </w:pPr>
    </w:p>
    <w:p w:rsidR="00D36C1F" w:rsidRDefault="00D36C1F" w:rsidP="00D36C1F">
      <w:pPr>
        <w:ind w:firstLine="567"/>
        <w:jc w:val="both"/>
      </w:pPr>
      <w:r>
        <w:lastRenderedPageBreak/>
        <w:t xml:space="preserve">По предварительному расчету предполагаемый доход за ноябрь и декабрь составит </w:t>
      </w:r>
      <w:r w:rsidRPr="00526DC8">
        <w:rPr>
          <w:b/>
        </w:rPr>
        <w:t>4 069 630</w:t>
      </w:r>
      <w:r>
        <w:t xml:space="preserve"> руб. (по эл.энергии 1 126 655 руб., по теплоэнергии 1 741 836 руб., по воде и доставке воды 91 448 руб., по устройству зимника 1 872 633 руб.).</w:t>
      </w:r>
    </w:p>
    <w:p w:rsidR="00D36C1F" w:rsidRDefault="00D36C1F" w:rsidP="00D36C1F">
      <w:pPr>
        <w:ind w:firstLine="567"/>
        <w:jc w:val="both"/>
      </w:pPr>
    </w:p>
    <w:p w:rsidR="00D36C1F" w:rsidRDefault="00D36C1F" w:rsidP="00D36C1F">
      <w:pPr>
        <w:ind w:firstLine="567"/>
        <w:jc w:val="both"/>
      </w:pPr>
      <w:r>
        <w:t xml:space="preserve">Общий дефицит денежных средств составляет </w:t>
      </w:r>
      <w:r w:rsidRPr="00526DC8">
        <w:rPr>
          <w:b/>
        </w:rPr>
        <w:t>17 991 370</w:t>
      </w:r>
      <w:r>
        <w:t xml:space="preserve"> руб. (17 113 000,49 + 3 800 000 + 1 148 000 – 4 069 630).</w:t>
      </w:r>
    </w:p>
    <w:p w:rsidR="00D36C1F" w:rsidRDefault="00D36C1F" w:rsidP="00D36C1F">
      <w:pPr>
        <w:ind w:firstLine="567"/>
        <w:jc w:val="both"/>
      </w:pPr>
    </w:p>
    <w:p w:rsidR="00D36C1F" w:rsidRDefault="00D36C1F" w:rsidP="00D36C1F">
      <w:pPr>
        <w:ind w:firstLine="567"/>
        <w:jc w:val="both"/>
      </w:pPr>
      <w:proofErr w:type="gramStart"/>
      <w:r w:rsidRPr="009A65A5">
        <w:t>Проанализировав и проверив  расчет, представленный Предприятием по возмещению сверхнормативных затрат на топливо по виду деятельности «электроснабжение от дизельных электростанций» в 2022 году, можно сделать вывод: в данном расчёте предусмотрено, что списание топлива по цене 72 500  руб. за кг происходит в течение всего года, а фактически по 72 500  руб. списание топлива производится  начиная с февраля 2022 года по ДЭС</w:t>
      </w:r>
      <w:proofErr w:type="gramEnd"/>
      <w:r w:rsidRPr="009A65A5">
        <w:t xml:space="preserve"> Молодёжный и с марта по ДЭС</w:t>
      </w:r>
      <w:proofErr w:type="gramStart"/>
      <w:r w:rsidRPr="009A65A5">
        <w:t xml:space="preserve"> Н</w:t>
      </w:r>
      <w:proofErr w:type="gramEnd"/>
      <w:r w:rsidRPr="009A65A5">
        <w:t>апас. По данным бухгалтерского учёта всего за период январь-октябрь 2022 года списано дизельного топлива на ДЭС Молодёжный  и ДЭС</w:t>
      </w:r>
      <w:proofErr w:type="gramStart"/>
      <w:r w:rsidRPr="009A65A5">
        <w:t xml:space="preserve"> Н</w:t>
      </w:r>
      <w:proofErr w:type="gramEnd"/>
      <w:r w:rsidRPr="009A65A5">
        <w:t xml:space="preserve">апас 306 857,71 кг на сумму                  21 </w:t>
      </w:r>
      <w:r>
        <w:t>0</w:t>
      </w:r>
      <w:r w:rsidRPr="009A65A5">
        <w:t>32 717,51 руб., следовательно, средняя цена списания составляет за этот период 68 542 руб. Департаментом тарифного регулирования при расчете тарифа на электрическую энергию принято дизельное топливо по цене 70 852,99 руб., что даже больше средней цены списания за 10 месяцев 2022 года. После окончания текущего финансового года, предлагаем также сопоставить цену, предложенную Департаментом тарифного регулирования при расчете тарифа и фактически сложившуюся цену списания топлива за весь 2022 год.</w:t>
      </w:r>
    </w:p>
    <w:p w:rsidR="00D36C1F" w:rsidRDefault="00D36C1F" w:rsidP="00D36C1F">
      <w:pPr>
        <w:ind w:firstLine="567"/>
        <w:jc w:val="both"/>
      </w:pPr>
    </w:p>
    <w:p w:rsidR="00D36C1F" w:rsidRDefault="00D36C1F" w:rsidP="00D36C1F">
      <w:pPr>
        <w:ind w:firstLine="567"/>
        <w:jc w:val="both"/>
      </w:pPr>
    </w:p>
    <w:p w:rsidR="00D36C1F" w:rsidRDefault="00D36C1F" w:rsidP="00D36C1F">
      <w:pPr>
        <w:ind w:firstLine="567"/>
        <w:jc w:val="both"/>
      </w:pPr>
      <w:r>
        <w:t>Проанализировав</w:t>
      </w:r>
      <w:r w:rsidRPr="00E37EA3">
        <w:t xml:space="preserve"> и проверив </w:t>
      </w:r>
      <w:r>
        <w:t xml:space="preserve">дополнительные расчёты, представленные 25 ноября Предприятием МУП «ЖКХ </w:t>
      </w:r>
      <w:proofErr w:type="gramStart"/>
      <w:r>
        <w:t>Молодёжный</w:t>
      </w:r>
      <w:proofErr w:type="gramEnd"/>
      <w:r>
        <w:t>», можно сделать следующие выводы:</w:t>
      </w:r>
    </w:p>
    <w:p w:rsidR="00D36C1F" w:rsidRDefault="00D36C1F" w:rsidP="00D36C1F">
      <w:pPr>
        <w:ind w:firstLine="567"/>
        <w:jc w:val="both"/>
      </w:pPr>
    </w:p>
    <w:p w:rsidR="00D36C1F" w:rsidRDefault="00D36C1F" w:rsidP="00D36C1F">
      <w:pPr>
        <w:ind w:firstLine="567"/>
        <w:jc w:val="both"/>
      </w:pPr>
      <w:proofErr w:type="gramStart"/>
      <w:r>
        <w:t>1.Департаментом тарифного регулирования приложением к смете расчёта тарифа на тепловую энергию предусмотрены натуральные показатели, в том числе  дрова в количестве 702,28 м</w:t>
      </w:r>
      <w:r>
        <w:rPr>
          <w:vertAlign w:val="superscript"/>
        </w:rPr>
        <w:t>3</w:t>
      </w:r>
      <w:r>
        <w:t xml:space="preserve"> по котельной «Центральная» п. Молодёжный и 213,34 м</w:t>
      </w:r>
      <w:r>
        <w:rPr>
          <w:vertAlign w:val="superscript"/>
        </w:rPr>
        <w:t xml:space="preserve">3 </w:t>
      </w:r>
      <w:r>
        <w:t>по котельной «Школьная» с. Напас, всего 915,62 м</w:t>
      </w:r>
      <w:r>
        <w:rPr>
          <w:vertAlign w:val="superscript"/>
        </w:rPr>
        <w:t>3</w:t>
      </w:r>
      <w:r>
        <w:t xml:space="preserve"> на сумму 1 246 246,77 руб. Фактически по данным Предприятия в 2020 году перерасход дров составил 43,38 м</w:t>
      </w:r>
      <w:r>
        <w:rPr>
          <w:vertAlign w:val="superscript"/>
        </w:rPr>
        <w:t>3</w:t>
      </w:r>
      <w:r>
        <w:t xml:space="preserve"> на сумму 114</w:t>
      </w:r>
      <w:proofErr w:type="gramEnd"/>
      <w:r>
        <w:t> 353,23 руб., а в 2021 году, при тех же плановых показателях, перерасход  составил уже 277,38 м</w:t>
      </w:r>
      <w:r>
        <w:rPr>
          <w:vertAlign w:val="superscript"/>
        </w:rPr>
        <w:t xml:space="preserve">3 </w:t>
      </w:r>
      <w:r>
        <w:t>на сумму 454 633,19 руб. В пояснительной записке, представленной Предприятием нет объяснения, по какой причине возник такой перерасход дров и почему такая большая разница между 2020 и 2021 годом. Также, в пояснительной записке не указано, каким образом происходит  приёмка дров от поставщика, если приобретается, например 495 м</w:t>
      </w:r>
      <w:r>
        <w:rPr>
          <w:vertAlign w:val="superscript"/>
        </w:rPr>
        <w:t>3</w:t>
      </w:r>
      <w:r>
        <w:t xml:space="preserve"> одновременно, как в сентябре 2022 года. Предприятием не представлены нормы списания дров и также нет пояснений, каким образом происходит списание дров именно в таком количестве. В связи с этим, считаем, что подтвердить достоверность списания такого количества дров в 2020 и  2021 году не представляется возможным, поэтому затраты в сумме 568 986,42 руб. (114 353,23+454 633,19), нельзя считать сверхнормативными.</w:t>
      </w:r>
    </w:p>
    <w:p w:rsidR="00D36C1F" w:rsidRDefault="00D36C1F" w:rsidP="00D36C1F">
      <w:pPr>
        <w:ind w:firstLine="567"/>
        <w:jc w:val="both"/>
      </w:pPr>
    </w:p>
    <w:p w:rsidR="00D36C1F" w:rsidRDefault="00D36C1F" w:rsidP="00D36C1F">
      <w:pPr>
        <w:ind w:firstLine="567"/>
        <w:jc w:val="both"/>
      </w:pPr>
      <w:proofErr w:type="gramStart"/>
      <w:r>
        <w:t>2.Из представленных отчетных данных по водоснабжению и пояснений к ним, видно, что основной суммой перерасхода по статьям затрат в 2020 году является «заработная плата» и «отчисления» всего на сумму 367 185,25 руб. Из пояснительной записки следует, что сумма перерасхода по заработной плате сложилась, из-за того, что в смете ДТР заложено 0,27 ставки работника по обслуживанию воды, а по факту</w:t>
      </w:r>
      <w:proofErr w:type="gramEnd"/>
      <w:r>
        <w:t xml:space="preserve"> работник </w:t>
      </w:r>
      <w:proofErr w:type="gramStart"/>
      <w:r>
        <w:t>принят на целую</w:t>
      </w:r>
      <w:proofErr w:type="gramEnd"/>
      <w:r>
        <w:t xml:space="preserve"> единицу. Расходы по заработной  плате за 2020 год составляют 357 735,47 руб., при плановых 75 447,21 руб. Таким образом, средняя зарплата составляет 29 811 руб., т.е. работнику круглый год начисляется и выплачивается полная ставка, </w:t>
      </w:r>
      <w:r>
        <w:lastRenderedPageBreak/>
        <w:t>независимо от того, что летом отапливать башню не нужно. Предлагаем, пересмотреть систему оплаты труда работника по обслуживанию воды и оплачивать его работу по договору гражданско-правового характера, в размерах, предусмотренных Департаментом тарифного регулирования.</w:t>
      </w:r>
    </w:p>
    <w:p w:rsidR="00D36C1F" w:rsidRDefault="00D36C1F" w:rsidP="00D36C1F">
      <w:pPr>
        <w:ind w:firstLine="567"/>
        <w:jc w:val="both"/>
      </w:pPr>
      <w:r>
        <w:t xml:space="preserve">Сумму амортизации, как затраты не вошедшие в тариф возмещать из бюджета  </w:t>
      </w:r>
      <w:r w:rsidRPr="007F1538">
        <w:t>неправомерно</w:t>
      </w:r>
      <w:r>
        <w:t>, так как фактически Вы не несёте никаких расходов.</w:t>
      </w:r>
    </w:p>
    <w:p w:rsidR="00D36C1F" w:rsidRDefault="00D36C1F" w:rsidP="00D36C1F">
      <w:pPr>
        <w:ind w:firstLine="567"/>
        <w:jc w:val="both"/>
      </w:pPr>
      <w:r>
        <w:t>По дровам, для отопления водонапорной башни, такая же ситуация как и по списанию дров для котельных, т.е. подтвердить достоверность списания такого количества дров невозможно.</w:t>
      </w:r>
    </w:p>
    <w:p w:rsidR="00D36C1F" w:rsidRDefault="00D36C1F" w:rsidP="00D36C1F">
      <w:pPr>
        <w:ind w:firstLine="567"/>
        <w:jc w:val="both"/>
      </w:pPr>
      <w:r>
        <w:t xml:space="preserve">По поводу превышения прочих административных расходов </w:t>
      </w:r>
      <w:proofErr w:type="gramStart"/>
      <w:r>
        <w:t>над</w:t>
      </w:r>
      <w:proofErr w:type="gramEnd"/>
      <w:r>
        <w:t xml:space="preserve"> плановыми, Вам уже ранее предлагалось пересмотреть и привести в соответствие с нормативными документами Ваше Положение об оплате труда. После этого фонд оплаты труда административно-управленческого персонала </w:t>
      </w:r>
      <w:proofErr w:type="gramStart"/>
      <w:r>
        <w:t>уменьшится</w:t>
      </w:r>
      <w:proofErr w:type="gramEnd"/>
      <w:r>
        <w:t xml:space="preserve"> и не будет превышать плановые показатели.</w:t>
      </w:r>
    </w:p>
    <w:p w:rsidR="00D36C1F" w:rsidRDefault="00D36C1F" w:rsidP="00D36C1F">
      <w:pPr>
        <w:ind w:firstLine="567"/>
        <w:jc w:val="both"/>
      </w:pPr>
      <w:r>
        <w:t>Кроме того, в 2021 году, ко всем вышеперечисленным добавились еще затраты, превышающие плановые. Это электроэнергия в сумме 40 497,99 руб. Из пояснительной записки следует, что использовались электрообогревательные ленты. И это притом, что перерасход по дровам увеличился по сравнению с 2020 годом на 9 338 руб.</w:t>
      </w:r>
    </w:p>
    <w:p w:rsidR="00D36C1F" w:rsidRPr="002F1175" w:rsidRDefault="00D36C1F" w:rsidP="00D36C1F">
      <w:pPr>
        <w:ind w:firstLine="567"/>
        <w:jc w:val="both"/>
      </w:pPr>
    </w:p>
    <w:p w:rsidR="00D36C1F" w:rsidRDefault="00D36C1F" w:rsidP="00D36C1F">
      <w:pPr>
        <w:ind w:firstLine="567"/>
        <w:jc w:val="both"/>
      </w:pPr>
      <w:r>
        <w:t>3.Расчёт плановой себестоимости заготовки дров составлен без пояснений.</w:t>
      </w:r>
    </w:p>
    <w:p w:rsidR="00D36C1F" w:rsidRDefault="00D36C1F" w:rsidP="00D36C1F">
      <w:pPr>
        <w:ind w:firstLine="567"/>
        <w:jc w:val="both"/>
      </w:pPr>
      <w:r>
        <w:t xml:space="preserve">Согласно имеющейся информации предприниматель Ахмед-Оглы С.В. выписывала деляны для заготовки делового леса хвойных пород и последующей распиловки его на пиломатериал. Отходы от распиловки </w:t>
      </w:r>
      <w:r w:rsidRPr="002D3D6A">
        <w:rPr>
          <w:u w:val="single"/>
        </w:rPr>
        <w:t>хвойных пород леса</w:t>
      </w:r>
      <w:r>
        <w:t xml:space="preserve"> пилились на дрова и реализовались предприятию МУП «ЖКХ </w:t>
      </w:r>
      <w:proofErr w:type="gramStart"/>
      <w:r>
        <w:t>Молодёжный</w:t>
      </w:r>
      <w:proofErr w:type="gramEnd"/>
      <w:r>
        <w:t>».</w:t>
      </w:r>
    </w:p>
    <w:p w:rsidR="00D36C1F" w:rsidRDefault="00D36C1F" w:rsidP="00D36C1F">
      <w:pPr>
        <w:ind w:firstLine="567"/>
        <w:jc w:val="both"/>
      </w:pPr>
      <w:r>
        <w:t>Поэтому все затраты должны были относиться на производство пиломатериала (брус, плаха, доски и т.д.), а его отходы являлись дополнительным доходом за минусом издержек на его распиловку на дрова и доставку потребителю. Кроме того, качество (отдача тепла) этих дров намного уступает дровам, заготовленным другими предпринимателями  специально для продажи дров.</w:t>
      </w:r>
    </w:p>
    <w:p w:rsidR="00D36C1F" w:rsidRDefault="00D36C1F" w:rsidP="00D36C1F">
      <w:pPr>
        <w:ind w:firstLine="567"/>
        <w:jc w:val="both"/>
      </w:pPr>
    </w:p>
    <w:p w:rsidR="00D36C1F" w:rsidRDefault="00D36C1F" w:rsidP="00D36C1F">
      <w:pPr>
        <w:ind w:firstLine="567"/>
        <w:jc w:val="both"/>
      </w:pPr>
      <w:r>
        <w:t>Контрольный орган считает, что в представленной 17 ноября Информации (анализе) отсутствуют выводы (предложения) за счёт какого источника Предприятие ожидает найти выход из сложившегося финансового положения (за счёт кредита банка, оказания финансовой помощи из бюджета, сокращения затрат, увеличения предоставляемых услуг их потребителям).</w:t>
      </w:r>
    </w:p>
    <w:p w:rsidR="00D36C1F" w:rsidRDefault="00D36C1F" w:rsidP="00D36C1F">
      <w:pPr>
        <w:ind w:firstLine="567"/>
        <w:jc w:val="both"/>
        <w:rPr>
          <w:szCs w:val="32"/>
        </w:rPr>
      </w:pPr>
      <w:r>
        <w:t xml:space="preserve">В аналитической записке от 31.10.2022 № 5 был сделан вывод, что предприятию </w:t>
      </w:r>
      <w:r w:rsidRPr="00085997">
        <w:rPr>
          <w:szCs w:val="32"/>
        </w:rPr>
        <w:t>МУП «ЖКХ Молодежный»</w:t>
      </w:r>
      <w:r>
        <w:rPr>
          <w:szCs w:val="32"/>
        </w:rPr>
        <w:t xml:space="preserve"> не обойтись без срочной финансовой помощи бюджета, для погашения задолженности: в первую очередь по зарплате, во вторую – налогов и так далее по списку должников. </w:t>
      </w:r>
    </w:p>
    <w:p w:rsidR="00D36C1F" w:rsidRDefault="00D36C1F" w:rsidP="00D36C1F">
      <w:pPr>
        <w:ind w:firstLine="567"/>
        <w:jc w:val="both"/>
        <w:rPr>
          <w:szCs w:val="32"/>
        </w:rPr>
      </w:pPr>
      <w:r>
        <w:rPr>
          <w:szCs w:val="32"/>
        </w:rPr>
        <w:t>Проведённый экономистом анализ финансового состояния Предприятия ещё раз подтверждает обоснованность ранее сделанных выводов.</w:t>
      </w:r>
    </w:p>
    <w:p w:rsidR="00D36C1F" w:rsidRDefault="00D36C1F" w:rsidP="00D36C1F">
      <w:pPr>
        <w:ind w:firstLine="567"/>
        <w:jc w:val="both"/>
      </w:pPr>
      <w:r>
        <w:t xml:space="preserve">Проанализировав обоснование причин, приведших к сложившемуся финансовому состоянию предприятия МУП «ЖКХ Молодёжный», можно согласиться с тем, что причинами возникновения кредиторской задолженности, в том числе, послужило превышение потребления электроэнергии в котельных по виду деятельности «теплоснабжение» </w:t>
      </w:r>
      <w:proofErr w:type="gramStart"/>
      <w:r>
        <w:t>над</w:t>
      </w:r>
      <w:proofErr w:type="gramEnd"/>
      <w:r>
        <w:t xml:space="preserve"> предусмотренным в расчётах обоснования тарифов. </w:t>
      </w:r>
    </w:p>
    <w:p w:rsidR="00D36C1F" w:rsidRDefault="00D36C1F" w:rsidP="00D36C1F">
      <w:pPr>
        <w:ind w:firstLine="567"/>
        <w:jc w:val="both"/>
      </w:pPr>
      <w:r>
        <w:t>Можно согласиться также с обоснованием причин возникновения данного превышения.</w:t>
      </w:r>
    </w:p>
    <w:p w:rsidR="00D36C1F" w:rsidRDefault="00D36C1F" w:rsidP="00D36C1F">
      <w:pPr>
        <w:ind w:firstLine="567"/>
        <w:jc w:val="both"/>
        <w:rPr>
          <w:szCs w:val="28"/>
        </w:rPr>
      </w:pPr>
      <w:r>
        <w:rPr>
          <w:szCs w:val="32"/>
        </w:rPr>
        <w:t xml:space="preserve">Поэтому, прежде всего, предлагаем обсудить возможность бюджета оказать финансовую помощь в размере </w:t>
      </w:r>
      <w:r w:rsidRPr="00986342">
        <w:rPr>
          <w:szCs w:val="32"/>
        </w:rPr>
        <w:t>2 061 850</w:t>
      </w:r>
      <w:r>
        <w:rPr>
          <w:szCs w:val="32"/>
        </w:rPr>
        <w:t xml:space="preserve"> </w:t>
      </w:r>
      <w:r w:rsidRPr="00530050">
        <w:rPr>
          <w:szCs w:val="28"/>
        </w:rPr>
        <w:t>руб.</w:t>
      </w:r>
      <w:r>
        <w:rPr>
          <w:szCs w:val="28"/>
        </w:rPr>
        <w:t xml:space="preserve"> по затратам не </w:t>
      </w:r>
      <w:r w:rsidRPr="00530050">
        <w:rPr>
          <w:szCs w:val="28"/>
        </w:rPr>
        <w:t>вошедши</w:t>
      </w:r>
      <w:r>
        <w:rPr>
          <w:szCs w:val="28"/>
        </w:rPr>
        <w:t>м</w:t>
      </w:r>
      <w:r w:rsidRPr="00530050">
        <w:rPr>
          <w:szCs w:val="28"/>
        </w:rPr>
        <w:t xml:space="preserve"> в тариф </w:t>
      </w:r>
      <w:r>
        <w:rPr>
          <w:szCs w:val="28"/>
        </w:rPr>
        <w:t>по теплоснабжению.</w:t>
      </w:r>
    </w:p>
    <w:p w:rsidR="00D36C1F" w:rsidRDefault="00D36C1F" w:rsidP="00D36C1F">
      <w:pPr>
        <w:ind w:firstLine="567"/>
        <w:jc w:val="both"/>
        <w:rPr>
          <w:szCs w:val="28"/>
        </w:rPr>
      </w:pPr>
      <w:r>
        <w:rPr>
          <w:szCs w:val="28"/>
        </w:rPr>
        <w:lastRenderedPageBreak/>
        <w:t>Учитывая сложное (критическое) состояние с формированием бюджета, п</w:t>
      </w:r>
      <w:r w:rsidRPr="00AC6E7B">
        <w:rPr>
          <w:szCs w:val="28"/>
        </w:rPr>
        <w:t>редлагаем</w:t>
      </w:r>
      <w:r>
        <w:rPr>
          <w:szCs w:val="28"/>
        </w:rPr>
        <w:t xml:space="preserve"> руководству Предприятия разработать мероприятия, при планировании его деятельности, по изысканию </w:t>
      </w:r>
      <w:r w:rsidRPr="00AC6E7B">
        <w:rPr>
          <w:szCs w:val="28"/>
        </w:rPr>
        <w:t>собственных ресурсов</w:t>
      </w:r>
      <w:r>
        <w:rPr>
          <w:szCs w:val="28"/>
        </w:rPr>
        <w:t xml:space="preserve"> для </w:t>
      </w:r>
      <w:r w:rsidRPr="00AC6E7B">
        <w:rPr>
          <w:szCs w:val="28"/>
        </w:rPr>
        <w:t>пога</w:t>
      </w:r>
      <w:r>
        <w:rPr>
          <w:szCs w:val="28"/>
        </w:rPr>
        <w:t>шения о</w:t>
      </w:r>
      <w:r w:rsidRPr="00AC6E7B">
        <w:rPr>
          <w:szCs w:val="28"/>
        </w:rPr>
        <w:t>ставш</w:t>
      </w:r>
      <w:r>
        <w:rPr>
          <w:szCs w:val="28"/>
        </w:rPr>
        <w:t>ей</w:t>
      </w:r>
      <w:r w:rsidRPr="00AC6E7B">
        <w:rPr>
          <w:szCs w:val="28"/>
        </w:rPr>
        <w:t>ся кредиторск</w:t>
      </w:r>
      <w:r>
        <w:rPr>
          <w:szCs w:val="28"/>
        </w:rPr>
        <w:t>ой</w:t>
      </w:r>
      <w:r w:rsidRPr="00AC6E7B">
        <w:rPr>
          <w:szCs w:val="28"/>
        </w:rPr>
        <w:t xml:space="preserve"> задолженност</w:t>
      </w:r>
      <w:r>
        <w:rPr>
          <w:szCs w:val="28"/>
        </w:rPr>
        <w:t>и,</w:t>
      </w:r>
      <w:r w:rsidRPr="00AC6E7B">
        <w:rPr>
          <w:szCs w:val="28"/>
        </w:rPr>
        <w:t xml:space="preserve"> за счёт увеличения доходов от оказанных услуг и оптимизации расходов</w:t>
      </w:r>
      <w:r>
        <w:rPr>
          <w:szCs w:val="28"/>
        </w:rPr>
        <w:t>, в том числе при</w:t>
      </w:r>
      <w:r w:rsidRPr="00AC6E7B">
        <w:t xml:space="preserve"> </w:t>
      </w:r>
      <w:r w:rsidRPr="00AC6E7B">
        <w:rPr>
          <w:szCs w:val="28"/>
        </w:rPr>
        <w:t>заключени</w:t>
      </w:r>
      <w:r>
        <w:rPr>
          <w:szCs w:val="28"/>
        </w:rPr>
        <w:t>и</w:t>
      </w:r>
      <w:r w:rsidRPr="00AC6E7B">
        <w:rPr>
          <w:szCs w:val="28"/>
        </w:rPr>
        <w:t xml:space="preserve"> более выгодных контрактов </w:t>
      </w:r>
      <w:r>
        <w:rPr>
          <w:szCs w:val="28"/>
        </w:rPr>
        <w:t>на приобретение материальных запасов</w:t>
      </w:r>
      <w:r w:rsidRPr="00AC6E7B">
        <w:rPr>
          <w:szCs w:val="28"/>
        </w:rPr>
        <w:t>.</w:t>
      </w:r>
      <w:r>
        <w:rPr>
          <w:szCs w:val="28"/>
        </w:rPr>
        <w:t xml:space="preserve"> </w:t>
      </w:r>
    </w:p>
    <w:p w:rsidR="00D36C1F" w:rsidRDefault="00D36C1F" w:rsidP="00D36C1F">
      <w:pPr>
        <w:ind w:firstLine="567"/>
        <w:jc w:val="both"/>
        <w:rPr>
          <w:szCs w:val="28"/>
        </w:rPr>
      </w:pPr>
      <w:r>
        <w:rPr>
          <w:szCs w:val="28"/>
        </w:rPr>
        <w:t xml:space="preserve">Считаем, что достигнуть необходимых результатов можно только при строгом соблюдении </w:t>
      </w:r>
      <w:r>
        <w:t xml:space="preserve">утверждённого </w:t>
      </w:r>
      <w:r>
        <w:rPr>
          <w:szCs w:val="28"/>
        </w:rPr>
        <w:t xml:space="preserve">Администрацией Среднетымского сельского поселения </w:t>
      </w:r>
      <w:r>
        <w:t xml:space="preserve">(постановление от 31.01.2017 № 4) </w:t>
      </w:r>
      <w:r w:rsidRPr="00B008E1">
        <w:t>Порядк</w:t>
      </w:r>
      <w:r>
        <w:t>а</w:t>
      </w:r>
      <w:r w:rsidRPr="00B008E1">
        <w:t xml:space="preserve"> составления, утверждения и  установления  показателей  планов (программ) финансово-хозяйственной деятельности МУП «ЖКХ </w:t>
      </w:r>
      <w:proofErr w:type="gramStart"/>
      <w:r>
        <w:t>Молодёжный</w:t>
      </w:r>
      <w:proofErr w:type="gramEnd"/>
      <w:r w:rsidRPr="00B008E1">
        <w:t xml:space="preserve">» в </w:t>
      </w:r>
      <w:r>
        <w:t>муниципальном образовании</w:t>
      </w:r>
      <w:r w:rsidRPr="00B008E1">
        <w:t xml:space="preserve"> «</w:t>
      </w:r>
      <w:r>
        <w:t>Среднетымское</w:t>
      </w:r>
      <w:r w:rsidRPr="00B008E1">
        <w:t xml:space="preserve"> сельское поселение»</w:t>
      </w:r>
      <w:r>
        <w:t xml:space="preserve">». </w:t>
      </w:r>
      <w:r>
        <w:rPr>
          <w:szCs w:val="28"/>
        </w:rPr>
        <w:t>Необходимо учесть замечания, сделанные по планированию и анализу деятельности Предприятия в Аналитической записке № 5.</w:t>
      </w:r>
    </w:p>
    <w:p w:rsidR="00D36C1F" w:rsidRDefault="00D36C1F" w:rsidP="00D36C1F">
      <w:pPr>
        <w:ind w:firstLine="567"/>
        <w:jc w:val="both"/>
        <w:rPr>
          <w:szCs w:val="28"/>
        </w:rPr>
      </w:pPr>
    </w:p>
    <w:p w:rsidR="00451DE3" w:rsidRDefault="00451DE3" w:rsidP="00451DE3">
      <w:pPr>
        <w:ind w:firstLine="567"/>
        <w:jc w:val="both"/>
      </w:pPr>
      <w:r w:rsidRPr="006C20EE">
        <w:rPr>
          <w:rFonts w:eastAsiaTheme="minorHAnsi"/>
          <w:bCs/>
          <w:szCs w:val="28"/>
          <w:lang w:eastAsia="en-US"/>
        </w:rPr>
        <w:t>Дополнительная информация</w:t>
      </w:r>
      <w:r>
        <w:rPr>
          <w:rFonts w:eastAsiaTheme="minorHAnsi"/>
          <w:bCs/>
          <w:szCs w:val="28"/>
          <w:lang w:eastAsia="en-US"/>
        </w:rPr>
        <w:t xml:space="preserve"> к</w:t>
      </w:r>
      <w:r>
        <w:t xml:space="preserve"> Аналитической записке предоставлена всем заинтересованным лицам: директору предприятия </w:t>
      </w:r>
      <w:r w:rsidRPr="00516221">
        <w:t>МУП «</w:t>
      </w:r>
      <w:r>
        <w:t>ЖКХ Молодёжный</w:t>
      </w:r>
      <w:r w:rsidRPr="00AA439F">
        <w:t>»</w:t>
      </w:r>
      <w:r>
        <w:t>,  Главе Среднетымского сельского поселения, Главе Каргасокского района, Председателю Думы Каргасок</w:t>
      </w:r>
      <w:r w:rsidR="00D13CE4">
        <w:t>ского района и её выводы нашли своё отражение в решении Думы Каргасокского района.</w:t>
      </w:r>
      <w:bookmarkStart w:id="0" w:name="_GoBack"/>
      <w:bookmarkEnd w:id="0"/>
      <w:r w:rsidR="00D13CE4">
        <w:t xml:space="preserve"> </w:t>
      </w:r>
      <w:r>
        <w:t xml:space="preserve"> </w:t>
      </w:r>
    </w:p>
    <w:p w:rsidR="00451DE3" w:rsidRDefault="00451DE3" w:rsidP="00451DE3">
      <w:pPr>
        <w:ind w:firstLine="567"/>
        <w:jc w:val="both"/>
      </w:pPr>
    </w:p>
    <w:p w:rsidR="00451DE3" w:rsidRDefault="00451DE3" w:rsidP="00451DE3">
      <w:pPr>
        <w:ind w:firstLine="567"/>
        <w:jc w:val="both"/>
      </w:pPr>
    </w:p>
    <w:p w:rsidR="00451DE3" w:rsidRDefault="00451DE3" w:rsidP="00451DE3">
      <w:pPr>
        <w:ind w:firstLine="567"/>
        <w:jc w:val="both"/>
      </w:pPr>
    </w:p>
    <w:p w:rsidR="00451DE3" w:rsidRDefault="00451DE3" w:rsidP="00451DE3">
      <w:pPr>
        <w:ind w:firstLine="567"/>
        <w:jc w:val="both"/>
      </w:pPr>
    </w:p>
    <w:p w:rsidR="00451DE3" w:rsidRDefault="00451DE3" w:rsidP="00451DE3">
      <w:pPr>
        <w:ind w:firstLine="567"/>
        <w:jc w:val="both"/>
      </w:pPr>
      <w:r w:rsidRPr="00AB6914">
        <w:t xml:space="preserve">Председатель ______________________ /Ю.А.Машковцев/   </w:t>
      </w:r>
    </w:p>
    <w:p w:rsidR="00451DE3" w:rsidRDefault="00451DE3" w:rsidP="00451DE3">
      <w:pPr>
        <w:ind w:firstLine="567"/>
        <w:jc w:val="both"/>
      </w:pPr>
    </w:p>
    <w:p w:rsidR="00B56D4E" w:rsidRDefault="00B56D4E" w:rsidP="00D36C1F"/>
    <w:sectPr w:rsidR="00B56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81"/>
    <w:rsid w:val="00451DE3"/>
    <w:rsid w:val="007D7381"/>
    <w:rsid w:val="00B56D4E"/>
    <w:rsid w:val="00D13CE4"/>
    <w:rsid w:val="00D3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2022-12-15T04:44:00Z</dcterms:created>
  <dcterms:modified xsi:type="dcterms:W3CDTF">2022-12-15T07:32:00Z</dcterms:modified>
</cp:coreProperties>
</file>