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FB" w:rsidRDefault="007B1EFB" w:rsidP="007B1E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7B1EFB" w:rsidRDefault="007B1EFB" w:rsidP="007B1E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7B1EFB" w:rsidRDefault="007B1EFB" w:rsidP="007B1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Default="007B1EFB" w:rsidP="007B1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Default="007B1EFB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                 </w:t>
      </w:r>
      <w:r w:rsidR="00EA7C08">
        <w:rPr>
          <w:rFonts w:ascii="Times New Roman" w:hAnsi="Times New Roman" w:cs="Times New Roman"/>
          <w:sz w:val="24"/>
          <w:szCs w:val="24"/>
        </w:rPr>
        <w:t>03</w:t>
      </w:r>
      <w:r w:rsidRPr="00EA7C08">
        <w:rPr>
          <w:rFonts w:ascii="Times New Roman" w:hAnsi="Times New Roman" w:cs="Times New Roman"/>
          <w:sz w:val="24"/>
          <w:szCs w:val="24"/>
        </w:rPr>
        <w:t>.</w:t>
      </w:r>
      <w:r w:rsidRPr="00672A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2.2020 </w:t>
      </w:r>
    </w:p>
    <w:p w:rsidR="007B1EFB" w:rsidRDefault="007B1EFB" w:rsidP="007B1EF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4928"/>
        <w:gridCol w:w="4474"/>
      </w:tblGrid>
      <w:tr w:rsidR="007B1EFB" w:rsidTr="0031634E">
        <w:tc>
          <w:tcPr>
            <w:tcW w:w="4928" w:type="dxa"/>
            <w:hideMark/>
          </w:tcPr>
          <w:p w:rsidR="007B1EFB" w:rsidRDefault="007B1EFB" w:rsidP="007B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экспертно-аналитических мероприятиях № 11.</w:t>
            </w:r>
          </w:p>
        </w:tc>
        <w:tc>
          <w:tcPr>
            <w:tcW w:w="4474" w:type="dxa"/>
          </w:tcPr>
          <w:p w:rsidR="007B1EFB" w:rsidRDefault="007B1EFB" w:rsidP="0031634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1EFB" w:rsidRPr="00D153E6" w:rsidRDefault="007B1EFB" w:rsidP="007B1E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114" w:rsidRDefault="007B1EFB" w:rsidP="002B04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96752">
        <w:rPr>
          <w:rFonts w:ascii="Times New Roman" w:hAnsi="Times New Roman" w:cs="Times New Roman"/>
          <w:sz w:val="24"/>
        </w:rPr>
        <w:t>На основании</w:t>
      </w:r>
      <w:r w:rsidR="002B046C">
        <w:rPr>
          <w:rFonts w:ascii="Times New Roman" w:hAnsi="Times New Roman" w:cs="Times New Roman"/>
          <w:sz w:val="24"/>
        </w:rPr>
        <w:t xml:space="preserve"> заключенных Соглашений о передаче полномочий,</w:t>
      </w:r>
      <w:r w:rsidR="002B046C" w:rsidRPr="002B046C">
        <w:rPr>
          <w:rFonts w:ascii="Times New Roman" w:hAnsi="Times New Roman" w:cs="Times New Roman"/>
          <w:sz w:val="24"/>
        </w:rPr>
        <w:t xml:space="preserve"> </w:t>
      </w:r>
      <w:r w:rsidR="002B046C" w:rsidRPr="00E96752">
        <w:rPr>
          <w:rFonts w:ascii="Times New Roman" w:hAnsi="Times New Roman" w:cs="Times New Roman"/>
          <w:sz w:val="24"/>
        </w:rPr>
        <w:t xml:space="preserve">пункта </w:t>
      </w:r>
      <w:r w:rsidR="002B046C">
        <w:rPr>
          <w:rFonts w:ascii="Times New Roman" w:hAnsi="Times New Roman" w:cs="Times New Roman"/>
          <w:sz w:val="24"/>
        </w:rPr>
        <w:t>2</w:t>
      </w:r>
      <w:r w:rsidR="002B046C" w:rsidRPr="00E96752">
        <w:rPr>
          <w:rFonts w:ascii="Times New Roman" w:hAnsi="Times New Roman" w:cs="Times New Roman"/>
          <w:sz w:val="24"/>
        </w:rPr>
        <w:t>.</w:t>
      </w:r>
      <w:r w:rsidR="002B046C">
        <w:rPr>
          <w:rFonts w:ascii="Times New Roman" w:hAnsi="Times New Roman" w:cs="Times New Roman"/>
          <w:sz w:val="24"/>
        </w:rPr>
        <w:t>3</w:t>
      </w:r>
      <w:r w:rsidR="002B046C" w:rsidRPr="00E96752">
        <w:rPr>
          <w:rFonts w:ascii="Times New Roman" w:hAnsi="Times New Roman" w:cs="Times New Roman"/>
          <w:sz w:val="24"/>
        </w:rPr>
        <w:t xml:space="preserve"> </w:t>
      </w:r>
      <w:r w:rsidR="002B046C">
        <w:rPr>
          <w:rFonts w:ascii="Times New Roman" w:hAnsi="Times New Roman" w:cs="Times New Roman"/>
          <w:sz w:val="24"/>
        </w:rPr>
        <w:t>П</w:t>
      </w:r>
      <w:r w:rsidR="002B046C" w:rsidRPr="00E96752">
        <w:rPr>
          <w:rFonts w:ascii="Times New Roman" w:hAnsi="Times New Roman" w:cs="Times New Roman"/>
          <w:sz w:val="24"/>
        </w:rPr>
        <w:t>лана работы на 20</w:t>
      </w:r>
      <w:r w:rsidR="002B046C">
        <w:rPr>
          <w:rFonts w:ascii="Times New Roman" w:hAnsi="Times New Roman" w:cs="Times New Roman"/>
          <w:sz w:val="24"/>
        </w:rPr>
        <w:t>20</w:t>
      </w:r>
      <w:r w:rsidR="002B046C" w:rsidRPr="00E96752">
        <w:rPr>
          <w:rFonts w:ascii="Times New Roman" w:hAnsi="Times New Roman" w:cs="Times New Roman"/>
          <w:sz w:val="24"/>
        </w:rPr>
        <w:t xml:space="preserve"> год</w:t>
      </w:r>
      <w:r w:rsidR="002B046C">
        <w:rPr>
          <w:rFonts w:ascii="Times New Roman" w:hAnsi="Times New Roman" w:cs="Times New Roman"/>
          <w:sz w:val="24"/>
        </w:rPr>
        <w:t xml:space="preserve"> и</w:t>
      </w:r>
      <w:r w:rsidRPr="00E96752">
        <w:rPr>
          <w:rFonts w:ascii="Times New Roman" w:hAnsi="Times New Roman" w:cs="Times New Roman"/>
          <w:sz w:val="24"/>
        </w:rPr>
        <w:t xml:space="preserve"> распоряжения председателя Контрольного органа Каргасокского района от </w:t>
      </w:r>
      <w:r>
        <w:rPr>
          <w:rFonts w:ascii="Times New Roman" w:hAnsi="Times New Roman" w:cs="Times New Roman"/>
          <w:sz w:val="24"/>
        </w:rPr>
        <w:t>23</w:t>
      </w:r>
      <w:r w:rsidRPr="00E96752">
        <w:rPr>
          <w:rFonts w:ascii="Times New Roman" w:hAnsi="Times New Roman" w:cs="Times New Roman"/>
          <w:sz w:val="24"/>
        </w:rPr>
        <w:t>.10.20</w:t>
      </w:r>
      <w:r>
        <w:rPr>
          <w:rFonts w:ascii="Times New Roman" w:hAnsi="Times New Roman" w:cs="Times New Roman"/>
          <w:sz w:val="24"/>
        </w:rPr>
        <w:t>20</w:t>
      </w:r>
      <w:r w:rsidRPr="00E96752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11</w:t>
      </w:r>
      <w:r w:rsidRPr="00E96752">
        <w:rPr>
          <w:rFonts w:ascii="Times New Roman" w:hAnsi="Times New Roman" w:cs="Times New Roman"/>
          <w:sz w:val="24"/>
        </w:rPr>
        <w:t xml:space="preserve"> </w:t>
      </w:r>
      <w:r w:rsidR="002B046C">
        <w:rPr>
          <w:rFonts w:ascii="Times New Roman" w:hAnsi="Times New Roman" w:cs="Times New Roman"/>
          <w:sz w:val="24"/>
        </w:rPr>
        <w:t xml:space="preserve">были </w:t>
      </w:r>
      <w:r w:rsidR="002B046C" w:rsidRPr="002B046C">
        <w:rPr>
          <w:rFonts w:ascii="Times New Roman" w:hAnsi="Times New Roman" w:cs="Times New Roman"/>
          <w:sz w:val="24"/>
        </w:rPr>
        <w:t xml:space="preserve">проведены экспертизы 12 проектов бюджетов сельских поселений. Из них: </w:t>
      </w:r>
      <w:proofErr w:type="gramStart"/>
      <w:r w:rsidR="002B046C" w:rsidRPr="002B046C">
        <w:rPr>
          <w:rFonts w:ascii="Times New Roman" w:hAnsi="Times New Roman" w:cs="Times New Roman"/>
          <w:sz w:val="24"/>
        </w:rPr>
        <w:t>Сосновское, Вертикосское, Толпаровское, Тымское, Киндальское, Нововасюганское - всего 6 сельских поселений впервые с 2006 года начали составлять бюджеты на очередной 2021 финансовый год и плановый период, состоящий из 2022 и 2023 годов; Новоюгинское, Усть-Чижапское, Средневасюганское, Среднетымское, Каргасокское, Усть-Тымское - всего 6 сельских поселений продолжили пока составлять бюджеты только на очередной 2021 финансовый год.</w:t>
      </w:r>
      <w:proofErr w:type="gramEnd"/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В соответствии с утверждёнными Положениями о бюджетном процессе Проекты решений о бюджетах на 2021 - 2023 годы или только на 2021 год с необходимыми документами должны были представляться Председателям Советов сельских поселений Каргасокского района не позднее 15 ноября 2020 года. От Председателей Советов сельских поселений Контрольный орган ожидал поступления документов с учётом срока их доставки (в течение недели, где связь с районом осуществляется с помощью воздушного транспорта).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Все пакеты документов от сельских поселений поступили в ноябре 2020 года.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 xml:space="preserve">Как и в прошлые годы, учитывая сложности с транспортной доступностью,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автомобильного транспортного сообщения) по электронной почте в день их подписания. Заключения на бумажном носителе направлялись в поселения по обычным каналам связи. 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Шести сельским поселениям были направлены Заключения до 21 ноября, пяти до 28 ноября и одному 1 декабря. Учитывая необходимый период времени для подготовки проведения заседаний Советов, у некоторых поселений получится очень плотный график принятия решений по первому и второму чтению проектов бюджетов. Проверка Администрации Каргасокского сельского поселения показала, что, очевидно по этой причине, они принимали бюджет в одном чтении.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Проверки администраций сельских поселений выявили достаточно много нарушений, связанных с исполнением бюджетного процесса. Поэтому, Контрольный орган посчитал необходимым во всех Заключениях напомнить финансистам об основных этапах их работы после утверждения в окончательном втором чтении проектов Решений о бюджетах сельских поселений, а именно: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- о необходимости до конца 2020 года составить Сводные бюджетные росписи муниципальных образований сельских поселений  и довести до главных распорядителей бюджетных средств – Администраций сельских поселений предельные ассигнования и лимиты бюджетных обязательств;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- на основании доведённых ассигнований и лимитов бюджетных обязательств, Администрациям сельских поселений до конца 2020 года необходимо составить Бюджетные росписи главных распорядителей бюджетных средств и довести предельные ассигнования и лимиты бюджетных обязательств до подведомственных казённых учреждений;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lastRenderedPageBreak/>
        <w:t>- в пределах доведённых лимитов бюджетных обязательств до конца 2020 года казённым учреждениям необходимо составить бюджетные сметы на 2021 финансовый год;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- при изменении в течение 2021 года ассигнований в расходной части бюджета, как на основании решений Советов сельских поселений, так и решений принятых Администрациями сельских поселений, необходимо составить Сводные бюджетные росписи, доводить изменённые лимиты бюджетных обязательств до главных распорядителей бюджетных средств и составить Бюджетные росписи.  Доводить изменённые лимиты бюджетных обязательств до казённых учреждений и вносить изменения в бюджетные сметы;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- необходимо составить единый кассовый план по доходам, расходам и остаткам средств на счетах бюджета в соответствии с разработанными Порядками.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При подготовке Заключений: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 xml:space="preserve">- были проанализированы предварительные и ожидаемые итоги социально-экономического развития 2020 года и  показатели прогноза его развития на очередной 2021 год и планируемый период 2022-2023 годов, основные направления бюджетной и налоговой политики; 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- дана оценка показателям проектов бюджетов;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 xml:space="preserve">- проверено наличие и проведена оценка нормативно-правовой базы, касающейся порядка формирования бюджетов сельских поселений; 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- проверено формирование бюджетов на соответствие Положениям о бюджетном процессе и Бюджетному кодексу.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Все сельские поселения представили в полном объёме пакеты документов. То есть, в соответствии с Положениями о бюджетном процессе сельских поселений, не было необходимости в возвращении на доработку (доукомплектование) пакетов документов председателям Советов сельских поселений, что серьёзным образом могло бы отразиться на сроках принятия решений по бюджетам сельских поселений.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 xml:space="preserve">В пояснительных записках финансистами администраций сельских поселений подробно описаны доходная и расходная части бюджета. Коротко описано финансовое состояние муниципальных унитарных предприятий за 9 месяцев 2020 года. </w:t>
      </w:r>
      <w:proofErr w:type="gramStart"/>
      <w:r w:rsidRPr="001C217D">
        <w:rPr>
          <w:rFonts w:ascii="Times New Roman" w:hAnsi="Times New Roman" w:cs="Times New Roman"/>
          <w:sz w:val="24"/>
          <w:szCs w:val="24"/>
        </w:rPr>
        <w:t>Сельские поселения не ожидают</w:t>
      </w:r>
      <w:proofErr w:type="gramEnd"/>
      <w:r w:rsidRPr="001C217D">
        <w:rPr>
          <w:rFonts w:ascii="Times New Roman" w:hAnsi="Times New Roman" w:cs="Times New Roman"/>
          <w:sz w:val="24"/>
          <w:szCs w:val="24"/>
        </w:rPr>
        <w:t xml:space="preserve"> получения прибыли предприятиями в 2020 году. Никто из директоров, на момент проведения экспертизы проектов бюджетов, не представил в администрации сельских поселений планы финансово-хозяйственной деятельности муниципальных предприятий на 2021 год. То есть, при принятии проектов бюджетов в первом чтении у депутатов «на руках» не будет необходимых документов для обсуждения перспектив развития их предприятий в 2021 году и возможных проблем (убытков, просроченных кредиторских задолженностей и т.д.), которые очевидно необходимо будет решать за счёт средств их бюджетов. Директора некоторых предприятий обещали представить планы в декабре 2020 года, после утверждения тарифов.</w:t>
      </w:r>
    </w:p>
    <w:p w:rsidR="001C217D" w:rsidRPr="001C217D" w:rsidRDefault="001C217D" w:rsidP="001C2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Сложилась следующая картина по основным характеристикам бюджетов:</w:t>
      </w:r>
    </w:p>
    <w:p w:rsidR="001C217D" w:rsidRPr="001C217D" w:rsidRDefault="001C217D" w:rsidP="001C217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2075"/>
        <w:gridCol w:w="1529"/>
        <w:gridCol w:w="1531"/>
        <w:gridCol w:w="834"/>
        <w:gridCol w:w="1235"/>
      </w:tblGrid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№ по</w:t>
            </w: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сельск</w:t>
            </w:r>
            <w:proofErr w:type="spellEnd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. поселениям</w:t>
            </w: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устан</w:t>
            </w:r>
            <w:proofErr w:type="spellEnd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. в завис</w:t>
            </w:r>
            <w:proofErr w:type="gramStart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т размера доходов пост. в 2020 году</w:t>
            </w:r>
          </w:p>
        </w:tc>
        <w:tc>
          <w:tcPr>
            <w:tcW w:w="2125" w:type="dxa"/>
            <w:vMerge w:val="restart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1558" w:type="dxa"/>
            <w:vMerge w:val="restart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</w:t>
            </w: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бюджета </w:t>
            </w: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</w:t>
            </w: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«+» рост, </w:t>
            </w:r>
            <w:proofErr w:type="gramStart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«-</w:t>
            </w:r>
            <w:proofErr w:type="gramEnd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сниж</w:t>
            </w:r>
            <w:proofErr w:type="spellEnd"/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Каргасокское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48 053,4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126 156,3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-61,9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-78 102,9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25 945,0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28 032,0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-2 087,0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48 053,4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130 221,6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4 065,3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-63,1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-82 168,2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Среднетымское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36 146,6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40 310,3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-4 163,7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1 403,0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1 374,2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36 146,6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43 215,8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2 905,5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-16,4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-7 069,2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Нововасюганское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31 111,7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37 146,2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-16,2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-6 034,5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10 546,0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10 801,4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-2,4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-255,4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31 111,7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39 633,8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2 487,6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-21,5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-8 522,1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.Толпаровское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28 360,0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35 022,1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-19,0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-6 662,1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1 386,3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1 407,6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-21,3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28 360,0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35 803,4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781,3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-20,8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-7 443,4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Средневасюганское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26 210,2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28 609,7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-2 399,5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3 037,0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3 362,4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-9,7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-325,7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26 210,2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31 329,5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2 719,8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-16,3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-5 119,3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Сосновское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20 936,1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26 721,0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-21,6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-5 784,9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814,7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908,7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-94,0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20 936,1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28 961,5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2 240,5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-27,7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-8 025,4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Усть-Тымское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18 842,1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21 174,1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-11,0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-2 332,0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874,8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903,5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-3,2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-28,7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18 842,1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22 163,3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989,2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-3 321,2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Тымское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17 252,9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21 062,0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-18,1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-3 809,1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545,0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17 252,9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23 217,2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2 155,2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-25,7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-5 964,3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Усть-Чижапское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15 978,5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20 463,4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-21,9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-4 484,9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423,2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445,6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-22,4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15 978,5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20 929,3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465,9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- 23,7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- 4 950,8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Новоюгинское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19 239,8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20 329,6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-1 089,8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1 858,2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1 677,5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19 239,8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21 899,9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1 570,3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-2 660,1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Вертикосское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10 261,5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11 157,0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-8,0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-895,5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2 901,0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2 827,8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10 261,5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10 323,4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833,6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-0,6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-61,9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 Киндальское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5 255,6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5 622,2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-6,5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-366,6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449,3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5 255,6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5 697,2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75,0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-7,8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-441,6</w:t>
            </w:r>
          </w:p>
        </w:tc>
      </w:tr>
      <w:tr w:rsidR="001C217D" w:rsidRPr="001C217D" w:rsidTr="0031634E">
        <w:tc>
          <w:tcPr>
            <w:tcW w:w="2377" w:type="dxa"/>
            <w:vMerge w:val="restart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Доходы, в т.ч.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277 648,4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393 773,9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-29,5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-116 125,5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 неналог.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50 168,0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52 699,1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-4,8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-2 531,1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277 648,4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413 395,9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19 622,0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-32,8</w:t>
            </w: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sz w:val="24"/>
                <w:szCs w:val="24"/>
              </w:rPr>
              <w:t>-135 747,5</w:t>
            </w:r>
          </w:p>
        </w:tc>
      </w:tr>
      <w:tr w:rsidR="001C217D" w:rsidRPr="001C217D" w:rsidTr="0031634E">
        <w:tc>
          <w:tcPr>
            <w:tcW w:w="2377" w:type="dxa"/>
            <w:vMerge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По поселениям: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Профицит (Вертикос)</w:t>
            </w:r>
          </w:p>
          <w:p w:rsidR="001C217D" w:rsidRPr="001C217D" w:rsidRDefault="001C217D" w:rsidP="003163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i/>
                <w:sz w:val="24"/>
                <w:szCs w:val="24"/>
              </w:rPr>
              <w:t>Дефицит</w:t>
            </w:r>
          </w:p>
        </w:tc>
        <w:tc>
          <w:tcPr>
            <w:tcW w:w="1558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833,6</w:t>
            </w: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1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20 455,6</w:t>
            </w:r>
          </w:p>
        </w:tc>
        <w:tc>
          <w:tcPr>
            <w:tcW w:w="850" w:type="dxa"/>
          </w:tcPr>
          <w:p w:rsidR="001C217D" w:rsidRPr="001C217D" w:rsidRDefault="001C217D" w:rsidP="003163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40" w:type="dxa"/>
          </w:tcPr>
          <w:p w:rsidR="001C217D" w:rsidRPr="001C217D" w:rsidRDefault="001C217D" w:rsidP="0031634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 xml:space="preserve">Из таблицы видно, что все проекты бюджетов сельских поселений на очередной 2021 финансовый год сбалансированы по доходным и расходным частям бюджетов за счёт предусмотренных в районном бюджете дотаций на эти цели.  В текущем 2020 году ожидается дефицит бюджета во всех сельских поселениях Каргасокского района, кроме Вертикосского. В целом по сельским поселениям района дефицит ожидается в размере 20 455,6 тыс. рублей. </w:t>
      </w:r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17D">
        <w:rPr>
          <w:rFonts w:ascii="Times New Roman" w:hAnsi="Times New Roman" w:cs="Times New Roman"/>
          <w:sz w:val="24"/>
          <w:szCs w:val="24"/>
        </w:rPr>
        <w:t>Из 7 сельских поселений, наибольшее снижение налоговых и неналоговых доходов в 2021 году к ожидаемым показателям 2020 года предусмотрено: в Сосновском на 10,3%; в Средневасюганском на 9,7%; в Каргасокском на 7,4%; в Усть-Чижапском на 5,0% сельских поселениях.</w:t>
      </w:r>
      <w:proofErr w:type="gramEnd"/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Из 5 сельских поселений, наибольшее увеличение налоговых и неналоговых доходов в 2021 году к ожидаемым показателям 2020 года предусмотрено: в Новоюгинском на 10,8%; в Тымском на 7,1% сельских поселениях.</w:t>
      </w:r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 xml:space="preserve">В 2021 году, наибольший удельный вес налоговые и неналоговые доходы будут занимать во всех доходах: в Каргасокском – 53,9%, в Нововасюганском – 33,9%, в Вертикосском – 28,3%, в Средневасюганском – 11,6%, в Новоюгинском – 9,7% сельских поселениях. </w:t>
      </w:r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 xml:space="preserve">Все доходы в сельских поселениях на 2021 год предусмотрены со снижением к ожидаемым показателям 2020 года. </w:t>
      </w:r>
      <w:proofErr w:type="gramStart"/>
      <w:r w:rsidRPr="001C217D">
        <w:rPr>
          <w:rFonts w:ascii="Times New Roman" w:hAnsi="Times New Roman" w:cs="Times New Roman"/>
          <w:sz w:val="24"/>
          <w:szCs w:val="24"/>
        </w:rPr>
        <w:t>Наибольшее снижение предусмотрено: в Каргасокском на 61,9%, в Усть-Чижапском на 21,9%, в Сосновском на 21,6%, Толпаровском на 19,0%, в Тымском на 18,1%, в Нововасюганском на 16,2% сельских поселениях.</w:t>
      </w:r>
      <w:proofErr w:type="gramEnd"/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Принимая во внимание бездефицитный бюджет, аналогичная ситуация сложилась и с планированием расходов в сельских поселениях на 2021 год. Их сокращение такое же, что и в доходах, только с поправкой на ожидаемый дефицит в бюджетах сельских поселений 2020 года.</w:t>
      </w:r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17D">
        <w:rPr>
          <w:rFonts w:ascii="Times New Roman" w:hAnsi="Times New Roman" w:cs="Times New Roman"/>
          <w:sz w:val="24"/>
          <w:szCs w:val="24"/>
        </w:rPr>
        <w:t>Предложено всем сельским поселениям принять проекты бюджетов в первом чтении с учётом уточнения их показателей во втором чтении и устранения указанных отдельных замечаний к заседаниям депутатов Советов сельских поселений, предварительно проведя публичные слушания в соответствии со статьями  Положений о бюджетном процессе.</w:t>
      </w:r>
    </w:p>
    <w:p w:rsidR="001C217D" w:rsidRPr="001C217D" w:rsidRDefault="001C217D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5AAC" w:rsidRDefault="00CE5AAC" w:rsidP="00CE5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информация доведена до Председателя Думы Каргасокского района, Главы Каргасокского района, Глав сельских поселений Каргасокского района.</w:t>
      </w:r>
    </w:p>
    <w:p w:rsidR="00CE5AAC" w:rsidRDefault="00CE5AAC" w:rsidP="00CE5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5AAC" w:rsidRDefault="00CE5AAC" w:rsidP="00CE5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E5AAC" w:rsidRDefault="00CE5AAC" w:rsidP="00CE5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B046C" w:rsidRPr="001C217D" w:rsidRDefault="00CE5AAC" w:rsidP="00FB4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Председатель ______________________ /Ю.А.Машковцев/ </w:t>
      </w:r>
    </w:p>
    <w:sectPr w:rsidR="002B046C" w:rsidRPr="001C2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E4" w:rsidRDefault="00513CE4" w:rsidP="00513CE4">
      <w:pPr>
        <w:spacing w:after="0" w:line="240" w:lineRule="auto"/>
      </w:pPr>
      <w:r>
        <w:separator/>
      </w:r>
    </w:p>
  </w:endnote>
  <w:endnote w:type="continuationSeparator" w:id="0">
    <w:p w:rsidR="00513CE4" w:rsidRDefault="00513CE4" w:rsidP="0051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E4" w:rsidRDefault="00513C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E4" w:rsidRDefault="00513C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E4" w:rsidRDefault="00513C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E4" w:rsidRDefault="00513CE4" w:rsidP="00513CE4">
      <w:pPr>
        <w:spacing w:after="0" w:line="240" w:lineRule="auto"/>
      </w:pPr>
      <w:r>
        <w:separator/>
      </w:r>
    </w:p>
  </w:footnote>
  <w:footnote w:type="continuationSeparator" w:id="0">
    <w:p w:rsidR="00513CE4" w:rsidRDefault="00513CE4" w:rsidP="0051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E4" w:rsidRDefault="00513C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E4" w:rsidRDefault="00513C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E4" w:rsidRDefault="00513C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6C"/>
    <w:rsid w:val="00067114"/>
    <w:rsid w:val="001C217D"/>
    <w:rsid w:val="002A1036"/>
    <w:rsid w:val="002B046C"/>
    <w:rsid w:val="00513CE4"/>
    <w:rsid w:val="007B1EFB"/>
    <w:rsid w:val="007E536C"/>
    <w:rsid w:val="00C74571"/>
    <w:rsid w:val="00CE5AAC"/>
    <w:rsid w:val="00EA7C08"/>
    <w:rsid w:val="00F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CE4"/>
  </w:style>
  <w:style w:type="paragraph" w:styleId="a6">
    <w:name w:val="footer"/>
    <w:basedOn w:val="a"/>
    <w:link w:val="a7"/>
    <w:uiPriority w:val="99"/>
    <w:unhideWhenUsed/>
    <w:rsid w:val="005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CE4"/>
  </w:style>
  <w:style w:type="paragraph" w:styleId="a6">
    <w:name w:val="footer"/>
    <w:basedOn w:val="a"/>
    <w:link w:val="a7"/>
    <w:uiPriority w:val="99"/>
    <w:unhideWhenUsed/>
    <w:rsid w:val="00513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2021-01-15T04:21:00Z</dcterms:created>
  <dcterms:modified xsi:type="dcterms:W3CDTF">2021-01-15T04:58:00Z</dcterms:modified>
</cp:coreProperties>
</file>