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2596515</wp:posOffset>
            </wp:positionH>
            <wp:positionV relativeFrom="paragraph">
              <wp:posOffset>-234315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9A5867">
      <w:pPr>
        <w:pStyle w:val="2"/>
        <w:ind w:right="566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Pr="004530D9" w:rsidRDefault="002521EF" w:rsidP="002521EF">
      <w:pPr>
        <w:pStyle w:val="1"/>
        <w:rPr>
          <w:sz w:val="28"/>
          <w:szCs w:val="28"/>
        </w:rPr>
      </w:pPr>
      <w:r w:rsidRPr="004530D9">
        <w:rPr>
          <w:sz w:val="28"/>
          <w:szCs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521EF" w:rsidTr="002521EF">
        <w:tc>
          <w:tcPr>
            <w:tcW w:w="9571" w:type="dxa"/>
            <w:gridSpan w:val="3"/>
          </w:tcPr>
          <w:p w:rsidR="002521EF" w:rsidRPr="004530D9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4530D9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  <w:p w:rsidR="00C27B2B" w:rsidRDefault="00C27B2B" w:rsidP="005A1C74">
            <w:pPr>
              <w:spacing w:line="276" w:lineRule="auto"/>
              <w:jc w:val="center"/>
            </w:pPr>
          </w:p>
        </w:tc>
      </w:tr>
      <w:tr w:rsidR="002521EF" w:rsidRPr="003D0E7C" w:rsidTr="002521EF">
        <w:tc>
          <w:tcPr>
            <w:tcW w:w="1908" w:type="dxa"/>
            <w:hideMark/>
          </w:tcPr>
          <w:p w:rsidR="002521EF" w:rsidRPr="003D0E7C" w:rsidRDefault="00B77007" w:rsidP="003062D6">
            <w:r>
              <w:t>23</w:t>
            </w:r>
            <w:r w:rsidR="002477F7">
              <w:t>.06</w:t>
            </w:r>
            <w:r w:rsidR="002521EF" w:rsidRPr="003D0E7C">
              <w:t>.20</w:t>
            </w:r>
            <w:r w:rsidR="00B823F8">
              <w:t>20</w:t>
            </w:r>
          </w:p>
        </w:tc>
        <w:tc>
          <w:tcPr>
            <w:tcW w:w="5580" w:type="dxa"/>
          </w:tcPr>
          <w:p w:rsidR="002521EF" w:rsidRPr="003D0E7C" w:rsidRDefault="002521EF" w:rsidP="003062D6">
            <w:pPr>
              <w:jc w:val="right"/>
            </w:pPr>
          </w:p>
        </w:tc>
        <w:tc>
          <w:tcPr>
            <w:tcW w:w="2083" w:type="dxa"/>
            <w:hideMark/>
          </w:tcPr>
          <w:p w:rsidR="002521EF" w:rsidRPr="003D0E7C" w:rsidRDefault="004530D9" w:rsidP="00FB4790">
            <w:pPr>
              <w:spacing w:line="276" w:lineRule="auto"/>
              <w:ind w:right="708"/>
              <w:jc w:val="right"/>
            </w:pPr>
            <w:r>
              <w:t xml:space="preserve">       </w:t>
            </w:r>
            <w:r w:rsidR="00FB4790">
              <w:t xml:space="preserve"> </w:t>
            </w:r>
            <w:r w:rsidR="002521EF" w:rsidRPr="003D0E7C">
              <w:t xml:space="preserve">№ </w:t>
            </w:r>
            <w:r w:rsidR="009C5467">
              <w:t>316</w:t>
            </w:r>
          </w:p>
        </w:tc>
      </w:tr>
      <w:tr w:rsidR="002521EF" w:rsidRPr="003D0E7C" w:rsidTr="002521EF">
        <w:tc>
          <w:tcPr>
            <w:tcW w:w="7488" w:type="dxa"/>
            <w:gridSpan w:val="2"/>
            <w:hideMark/>
          </w:tcPr>
          <w:p w:rsidR="00C27B2B" w:rsidRDefault="00C27B2B" w:rsidP="003062D6"/>
          <w:p w:rsidR="002521EF" w:rsidRPr="003D0E7C" w:rsidRDefault="002521EF" w:rsidP="003062D6">
            <w:r w:rsidRPr="003D0E7C">
              <w:t xml:space="preserve">с. </w:t>
            </w:r>
            <w:proofErr w:type="spellStart"/>
            <w:r w:rsidRPr="003D0E7C">
              <w:t>Каргасок</w:t>
            </w:r>
            <w:proofErr w:type="spellEnd"/>
          </w:p>
        </w:tc>
        <w:tc>
          <w:tcPr>
            <w:tcW w:w="2083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4503"/>
        <w:gridCol w:w="5211"/>
      </w:tblGrid>
      <w:tr w:rsidR="002521EF" w:rsidRPr="003D0E7C" w:rsidTr="006F423A">
        <w:tc>
          <w:tcPr>
            <w:tcW w:w="4503" w:type="dxa"/>
            <w:vAlign w:val="center"/>
            <w:hideMark/>
          </w:tcPr>
          <w:p w:rsidR="002521EF" w:rsidRPr="003D0E7C" w:rsidRDefault="002477F7" w:rsidP="00686465">
            <w:pPr>
              <w:contextualSpacing/>
              <w:jc w:val="both"/>
            </w:pPr>
            <w:r>
              <w:t>О ходе реализации национального проекта «Здравоохранение»</w:t>
            </w:r>
            <w:r w:rsidR="00C27B2B">
              <w:t xml:space="preserve"> в муниципальном образовании "</w:t>
            </w:r>
            <w:proofErr w:type="spellStart"/>
            <w:r w:rsidR="00C27B2B">
              <w:t>Каргасокский</w:t>
            </w:r>
            <w:proofErr w:type="spellEnd"/>
            <w:r w:rsidR="00C27B2B">
              <w:t xml:space="preserve">  район"  </w:t>
            </w:r>
          </w:p>
        </w:tc>
        <w:tc>
          <w:tcPr>
            <w:tcW w:w="5211" w:type="dxa"/>
          </w:tcPr>
          <w:p w:rsidR="002521EF" w:rsidRPr="003D0E7C" w:rsidRDefault="002521EF">
            <w:pPr>
              <w:spacing w:line="276" w:lineRule="auto"/>
            </w:pPr>
          </w:p>
        </w:tc>
      </w:tr>
    </w:tbl>
    <w:p w:rsidR="002521EF" w:rsidRPr="003D0E7C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823F8" w:rsidRDefault="002521EF" w:rsidP="00195BF6">
      <w:pPr>
        <w:spacing w:line="276" w:lineRule="auto"/>
        <w:ind w:firstLine="709"/>
        <w:contextualSpacing/>
        <w:jc w:val="both"/>
        <w:rPr>
          <w:color w:val="FF0000"/>
        </w:rPr>
      </w:pPr>
      <w:r w:rsidRPr="003D0E7C">
        <w:rPr>
          <w:color w:val="000000"/>
        </w:rPr>
        <w:t xml:space="preserve">Заслушав </w:t>
      </w:r>
      <w:r w:rsidR="00C27B2B">
        <w:rPr>
          <w:color w:val="000000"/>
        </w:rPr>
        <w:t>доклад</w:t>
      </w:r>
      <w:r w:rsidR="00147BB3">
        <w:rPr>
          <w:color w:val="000000"/>
        </w:rPr>
        <w:t xml:space="preserve"> </w:t>
      </w:r>
      <w:r w:rsidR="002477F7">
        <w:rPr>
          <w:color w:val="000000"/>
        </w:rPr>
        <w:t>главного врача ОГБУЗ «</w:t>
      </w:r>
      <w:proofErr w:type="spellStart"/>
      <w:r w:rsidR="002477F7">
        <w:rPr>
          <w:color w:val="000000"/>
        </w:rPr>
        <w:t>Каргасокская</w:t>
      </w:r>
      <w:proofErr w:type="spellEnd"/>
      <w:r w:rsidR="002477F7">
        <w:rPr>
          <w:color w:val="000000"/>
        </w:rPr>
        <w:t xml:space="preserve"> РБ» </w:t>
      </w:r>
      <w:proofErr w:type="spellStart"/>
      <w:r w:rsidR="002477F7">
        <w:rPr>
          <w:color w:val="000000"/>
        </w:rPr>
        <w:t>Винокурова</w:t>
      </w:r>
      <w:proofErr w:type="spellEnd"/>
      <w:r w:rsidR="002477F7">
        <w:rPr>
          <w:color w:val="000000"/>
        </w:rPr>
        <w:t xml:space="preserve"> С.С.</w:t>
      </w:r>
      <w:r w:rsidR="00933785">
        <w:rPr>
          <w:color w:val="000000"/>
        </w:rPr>
        <w:t xml:space="preserve"> </w:t>
      </w:r>
      <w:r w:rsidR="002477F7">
        <w:t>о ходе реализации национального проекта «Здравоохранение»</w:t>
      </w:r>
      <w:r w:rsidR="00CD3EA2">
        <w:t xml:space="preserve"> в муниципальном образовании "</w:t>
      </w:r>
      <w:proofErr w:type="spellStart"/>
      <w:r w:rsidR="00CD3EA2">
        <w:t>Каргасокский</w:t>
      </w:r>
      <w:proofErr w:type="spellEnd"/>
      <w:r w:rsidR="00CD3EA2">
        <w:t xml:space="preserve">  район",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147BB3" w:rsidRDefault="002521EF" w:rsidP="005A7DC1">
      <w:pPr>
        <w:spacing w:line="276" w:lineRule="auto"/>
        <w:ind w:firstLine="709"/>
        <w:jc w:val="both"/>
        <w:rPr>
          <w:color w:val="000000"/>
        </w:rPr>
      </w:pPr>
      <w:r w:rsidRPr="00147BB3">
        <w:t xml:space="preserve">Дума </w:t>
      </w:r>
      <w:proofErr w:type="spellStart"/>
      <w:r w:rsidRPr="00147BB3">
        <w:t>Каргасокского</w:t>
      </w:r>
      <w:proofErr w:type="spellEnd"/>
      <w:r w:rsidRPr="00147BB3">
        <w:t xml:space="preserve"> района РЕШИЛА</w:t>
      </w:r>
      <w:r w:rsidRPr="00147BB3">
        <w:rPr>
          <w:color w:val="000000"/>
        </w:rPr>
        <w:t>:</w:t>
      </w:r>
    </w:p>
    <w:p w:rsidR="002521EF" w:rsidRPr="003D0E7C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3D0E7C" w:rsidRDefault="002521EF" w:rsidP="00195BF6">
      <w:pPr>
        <w:pStyle w:val="a3"/>
        <w:spacing w:line="276" w:lineRule="auto"/>
        <w:ind w:left="0" w:firstLine="709"/>
        <w:contextualSpacing/>
        <w:jc w:val="both"/>
      </w:pPr>
      <w:r w:rsidRPr="003D0E7C">
        <w:rPr>
          <w:color w:val="000000"/>
        </w:rPr>
        <w:t xml:space="preserve">1. Принять информацию </w:t>
      </w:r>
      <w:r w:rsidR="002477F7">
        <w:t>о ходе реализации национального проекта «Здравоохранения»</w:t>
      </w:r>
      <w:r w:rsidR="00C27B2B">
        <w:t xml:space="preserve"> в муниципальном образовании "</w:t>
      </w:r>
      <w:proofErr w:type="spellStart"/>
      <w:r w:rsidR="00C27B2B">
        <w:t>Каргасокский</w:t>
      </w:r>
      <w:proofErr w:type="spellEnd"/>
      <w:r w:rsidR="00C27B2B">
        <w:t xml:space="preserve">  район" </w:t>
      </w:r>
      <w:r w:rsidR="00195BF6" w:rsidRPr="0077249D">
        <w:t>к</w:t>
      </w:r>
      <w:r w:rsidR="00195BF6" w:rsidRPr="003D0E7C">
        <w:t xml:space="preserve"> сведению.</w:t>
      </w:r>
    </w:p>
    <w:p w:rsidR="00E00260" w:rsidRPr="00116243" w:rsidRDefault="00E00260" w:rsidP="00E00260">
      <w:pPr>
        <w:ind w:firstLine="709"/>
        <w:jc w:val="both"/>
      </w:pPr>
      <w:r>
        <w:t xml:space="preserve">2. </w:t>
      </w:r>
      <w:r w:rsidRPr="00116243">
        <w:t>Настоящее решение официально опубликовать</w:t>
      </w:r>
      <w:r>
        <w:t xml:space="preserve"> (обнародовать)</w:t>
      </w:r>
      <w:r w:rsidRPr="00116243">
        <w:t xml:space="preserve"> в порядке, установленном Уставом муниципального образования «</w:t>
      </w:r>
      <w:proofErr w:type="spellStart"/>
      <w:r w:rsidRPr="00116243">
        <w:t>Каргасокский</w:t>
      </w:r>
      <w:proofErr w:type="spellEnd"/>
      <w:r w:rsidRPr="00116243">
        <w:t xml:space="preserve"> район».</w:t>
      </w:r>
    </w:p>
    <w:p w:rsidR="002521EF" w:rsidRPr="003D0E7C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p w:rsidR="002521EF" w:rsidRDefault="002521EF" w:rsidP="002521EF">
      <w:pPr>
        <w:jc w:val="both"/>
        <w:rPr>
          <w:color w:val="000000"/>
        </w:rPr>
      </w:pPr>
    </w:p>
    <w:p w:rsidR="00E00260" w:rsidRDefault="00E00260" w:rsidP="002521EF">
      <w:pPr>
        <w:jc w:val="both"/>
        <w:rPr>
          <w:color w:val="000000"/>
        </w:rPr>
      </w:pPr>
    </w:p>
    <w:p w:rsidR="00E00260" w:rsidRPr="003D0E7C" w:rsidRDefault="00E00260" w:rsidP="002521EF">
      <w:pPr>
        <w:jc w:val="both"/>
        <w:rPr>
          <w:color w:val="000000"/>
        </w:rPr>
      </w:pPr>
    </w:p>
    <w:p w:rsidR="002521EF" w:rsidRPr="003D0E7C" w:rsidRDefault="002521EF" w:rsidP="002521EF">
      <w:pPr>
        <w:jc w:val="both"/>
        <w:rPr>
          <w:color w:val="000000"/>
        </w:rPr>
      </w:pPr>
    </w:p>
    <w:tbl>
      <w:tblPr>
        <w:tblW w:w="9255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059"/>
      </w:tblGrid>
      <w:tr w:rsidR="002521EF" w:rsidRPr="003D0E7C" w:rsidTr="006F423A">
        <w:trPr>
          <w:trHeight w:val="600"/>
        </w:trPr>
        <w:tc>
          <w:tcPr>
            <w:tcW w:w="5497" w:type="dxa"/>
            <w:hideMark/>
          </w:tcPr>
          <w:p w:rsidR="00195BF6" w:rsidRPr="003D0E7C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proofErr w:type="spellStart"/>
            <w:r w:rsidRPr="003D0E7C">
              <w:rPr>
                <w:rFonts w:eastAsiaTheme="minorEastAsia"/>
                <w:sz w:val="24"/>
              </w:rPr>
              <w:t>Каргасокского</w:t>
            </w:r>
            <w:proofErr w:type="spellEnd"/>
            <w:r w:rsidRPr="003D0E7C"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hideMark/>
          </w:tcPr>
          <w:p w:rsidR="00195BF6" w:rsidRPr="003D0E7C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3D0E7C" w:rsidRDefault="003D0E7C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</w:t>
            </w:r>
            <w:r w:rsidR="002521EF" w:rsidRPr="003D0E7C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3D0E7C" w:rsidTr="006F423A">
        <w:trPr>
          <w:trHeight w:val="429"/>
        </w:trPr>
        <w:tc>
          <w:tcPr>
            <w:tcW w:w="5497" w:type="dxa"/>
            <w:vAlign w:val="bottom"/>
          </w:tcPr>
          <w:p w:rsidR="00195BF6" w:rsidRDefault="00195BF6" w:rsidP="00195BF6">
            <w:pPr>
              <w:jc w:val="both"/>
              <w:rPr>
                <w:rFonts w:eastAsiaTheme="minorEastAsia"/>
              </w:rPr>
            </w:pPr>
          </w:p>
          <w:p w:rsidR="004530D9" w:rsidRPr="003D0E7C" w:rsidRDefault="004530D9" w:rsidP="00195BF6">
            <w:pPr>
              <w:jc w:val="both"/>
              <w:rPr>
                <w:rFonts w:eastAsiaTheme="minorEastAsia"/>
              </w:rPr>
            </w:pPr>
          </w:p>
          <w:p w:rsidR="002521EF" w:rsidRPr="003D0E7C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3D0E7C">
              <w:rPr>
                <w:rFonts w:eastAsiaTheme="minorEastAsia"/>
                <w:sz w:val="24"/>
              </w:rPr>
              <w:t xml:space="preserve">Глава </w:t>
            </w:r>
            <w:proofErr w:type="spellStart"/>
            <w:r w:rsidRPr="003D0E7C">
              <w:rPr>
                <w:rFonts w:eastAsiaTheme="minorEastAsia"/>
                <w:sz w:val="24"/>
              </w:rPr>
              <w:t>Каргасокского</w:t>
            </w:r>
            <w:proofErr w:type="spellEnd"/>
            <w:r w:rsidRPr="003D0E7C">
              <w:rPr>
                <w:rFonts w:eastAsiaTheme="minorEastAsia"/>
                <w:sz w:val="24"/>
              </w:rPr>
              <w:t xml:space="preserve"> района</w:t>
            </w:r>
          </w:p>
        </w:tc>
        <w:tc>
          <w:tcPr>
            <w:tcW w:w="1699" w:type="dxa"/>
            <w:vAlign w:val="center"/>
          </w:tcPr>
          <w:p w:rsidR="002521EF" w:rsidRPr="003D0E7C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059" w:type="dxa"/>
            <w:vAlign w:val="bottom"/>
            <w:hideMark/>
          </w:tcPr>
          <w:p w:rsidR="002521EF" w:rsidRPr="003D0E7C" w:rsidRDefault="003D0E7C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</w:t>
            </w:r>
            <w:r w:rsidR="002521EF" w:rsidRPr="003D0E7C">
              <w:rPr>
                <w:rFonts w:eastAsiaTheme="minorEastAsia"/>
                <w:sz w:val="24"/>
              </w:rPr>
              <w:t xml:space="preserve">А.П. </w:t>
            </w:r>
            <w:proofErr w:type="spellStart"/>
            <w:r w:rsidR="002521EF" w:rsidRPr="003D0E7C">
              <w:rPr>
                <w:rFonts w:eastAsiaTheme="minorEastAsia"/>
                <w:sz w:val="24"/>
              </w:rPr>
              <w:t>Ащеулов</w:t>
            </w:r>
            <w:proofErr w:type="spellEnd"/>
          </w:p>
        </w:tc>
      </w:tr>
    </w:tbl>
    <w:p w:rsidR="002521EF" w:rsidRDefault="002521EF" w:rsidP="002521EF"/>
    <w:p w:rsidR="00CB19F8" w:rsidRDefault="00CB19F8" w:rsidP="002521EF"/>
    <w:p w:rsidR="00CB19F8" w:rsidRDefault="00CB19F8" w:rsidP="002521EF"/>
    <w:p w:rsidR="00CB19F8" w:rsidRDefault="00CB19F8" w:rsidP="002521EF"/>
    <w:p w:rsidR="00CB19F8" w:rsidRDefault="00CB19F8" w:rsidP="002521EF"/>
    <w:p w:rsidR="00CB19F8" w:rsidRDefault="00CB19F8" w:rsidP="002521EF"/>
    <w:p w:rsidR="00CB19F8" w:rsidRDefault="00CB19F8" w:rsidP="002521EF">
      <w:bookmarkStart w:id="0" w:name="_GoBack"/>
      <w:bookmarkEnd w:id="0"/>
    </w:p>
    <w:p w:rsidR="00CB19F8" w:rsidRDefault="00CB19F8" w:rsidP="00CB19F8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  <w:color w:val="000000"/>
        </w:rPr>
        <w:lastRenderedPageBreak/>
        <w:t>Доклад руководителя</w:t>
      </w:r>
    </w:p>
    <w:p w:rsidR="00CB19F8" w:rsidRDefault="00CB19F8" w:rsidP="00CB19F8">
      <w:pPr>
        <w:pStyle w:val="Standard"/>
        <w:jc w:val="center"/>
        <w:rPr>
          <w:b/>
          <w:bCs/>
        </w:rPr>
      </w:pPr>
      <w:r>
        <w:rPr>
          <w:rFonts w:cs="Times New Roman"/>
          <w:b/>
          <w:bCs/>
          <w:color w:val="000000"/>
        </w:rPr>
        <w:t xml:space="preserve">по результатам реализации национальных проектов  «Здравоохранение» и «Демография» </w:t>
      </w:r>
      <w:r>
        <w:rPr>
          <w:b/>
          <w:bCs/>
          <w:color w:val="000000"/>
        </w:rPr>
        <w:t>в ОГБУЗ «</w:t>
      </w:r>
      <w:proofErr w:type="spellStart"/>
      <w:r>
        <w:rPr>
          <w:b/>
          <w:bCs/>
          <w:color w:val="000000"/>
        </w:rPr>
        <w:t>Каргасокская</w:t>
      </w:r>
      <w:proofErr w:type="spellEnd"/>
      <w:r>
        <w:rPr>
          <w:b/>
          <w:bCs/>
          <w:color w:val="000000"/>
        </w:rPr>
        <w:t xml:space="preserve"> РБ» в 2019 году и за 5 месяцев 2020 года</w:t>
      </w:r>
    </w:p>
    <w:p w:rsidR="00CB19F8" w:rsidRDefault="00CB19F8" w:rsidP="00CB19F8">
      <w:pPr>
        <w:pStyle w:val="Standard"/>
        <w:jc w:val="center"/>
        <w:rPr>
          <w:b/>
          <w:bCs/>
          <w:color w:val="000000"/>
        </w:rPr>
      </w:pPr>
    </w:p>
    <w:p w:rsidR="00CB19F8" w:rsidRDefault="00CB19F8" w:rsidP="00CB19F8">
      <w:pPr>
        <w:pStyle w:val="midnightblueLTGliederung1"/>
        <w:spacing w:line="276" w:lineRule="auto"/>
        <w:jc w:val="both"/>
        <w:rPr>
          <w:rFonts w:ascii="Liberation Serif" w:hAnsi="Liberation Serif"/>
          <w:sz w:val="24"/>
        </w:rPr>
      </w:pPr>
      <w:r>
        <w:rPr>
          <w:rFonts w:ascii="Liberation Serif" w:hAnsi="Liberation Serif"/>
          <w:color w:val="000000"/>
          <w:sz w:val="24"/>
        </w:rPr>
        <w:t>Одним из приоритетных направлений работы ОГБУЗ «</w:t>
      </w:r>
      <w:proofErr w:type="spellStart"/>
      <w:r>
        <w:rPr>
          <w:rFonts w:ascii="Liberation Serif" w:hAnsi="Liberation Serif"/>
          <w:color w:val="000000"/>
          <w:sz w:val="24"/>
        </w:rPr>
        <w:t>Каргасокская</w:t>
      </w:r>
      <w:proofErr w:type="spellEnd"/>
      <w:r>
        <w:rPr>
          <w:rFonts w:ascii="Liberation Serif" w:hAnsi="Liberation Serif"/>
          <w:color w:val="000000"/>
          <w:sz w:val="24"/>
        </w:rPr>
        <w:t xml:space="preserve"> районная больница» является реализация на территории </w:t>
      </w:r>
      <w:proofErr w:type="spellStart"/>
      <w:r>
        <w:rPr>
          <w:rFonts w:ascii="Liberation Serif" w:hAnsi="Liberation Serif"/>
          <w:color w:val="000000"/>
          <w:sz w:val="24"/>
        </w:rPr>
        <w:t>Каргасокского</w:t>
      </w:r>
      <w:proofErr w:type="spellEnd"/>
      <w:r>
        <w:rPr>
          <w:rFonts w:ascii="Liberation Serif" w:hAnsi="Liberation Serif"/>
          <w:color w:val="000000"/>
          <w:sz w:val="24"/>
        </w:rPr>
        <w:t xml:space="preserve"> района национальных проектов </w:t>
      </w:r>
      <w:r>
        <w:rPr>
          <w:rFonts w:ascii="Liberation Serif" w:hAnsi="Liberation Serif"/>
          <w:color w:val="990000"/>
          <w:sz w:val="24"/>
        </w:rPr>
        <w:t>«Здравоохранение»</w:t>
      </w:r>
      <w:r>
        <w:rPr>
          <w:rFonts w:ascii="Liberation Serif" w:hAnsi="Liberation Serif"/>
          <w:color w:val="000000"/>
          <w:sz w:val="24"/>
        </w:rPr>
        <w:t xml:space="preserve"> и </w:t>
      </w:r>
      <w:r>
        <w:rPr>
          <w:rFonts w:ascii="Liberation Serif" w:hAnsi="Liberation Serif"/>
          <w:color w:val="990000"/>
          <w:sz w:val="24"/>
        </w:rPr>
        <w:t>«Демография»</w:t>
      </w:r>
      <w:r>
        <w:rPr>
          <w:rFonts w:ascii="Liberation Serif" w:hAnsi="Liberation Serif"/>
          <w:color w:val="000000"/>
          <w:sz w:val="24"/>
        </w:rPr>
        <w:t xml:space="preserve">, в рамках которых в области работают 9 региональных проектов: </w:t>
      </w:r>
      <w:r>
        <w:rPr>
          <w:rFonts w:ascii="Liberation Serif" w:hAnsi="Liberation Serif"/>
          <w:i/>
          <w:iCs/>
          <w:color w:val="000000"/>
          <w:sz w:val="24"/>
        </w:rPr>
        <w:t xml:space="preserve">("Паспорта национальных проектов "Здравоохранение" </w:t>
      </w:r>
      <w:r>
        <w:rPr>
          <w:rFonts w:ascii="Liberation Serif" w:hAnsi="Liberation Serif" w:cs="Times New Roman"/>
          <w:i/>
          <w:iCs/>
          <w:color w:val="000000"/>
          <w:sz w:val="24"/>
        </w:rPr>
        <w:t>«Демография</w:t>
      </w:r>
      <w:proofErr w:type="gramStart"/>
      <w:r>
        <w:rPr>
          <w:rFonts w:ascii="Liberation Serif" w:hAnsi="Liberation Serif" w:cs="Times New Roman"/>
          <w:i/>
          <w:iCs/>
          <w:color w:val="000000"/>
          <w:sz w:val="24"/>
        </w:rPr>
        <w:t>»</w:t>
      </w:r>
      <w:r>
        <w:rPr>
          <w:rFonts w:ascii="Liberation Serif" w:hAnsi="Liberation Serif"/>
          <w:i/>
          <w:iCs/>
          <w:color w:val="000000"/>
          <w:sz w:val="24"/>
        </w:rPr>
        <w:t>(</w:t>
      </w:r>
      <w:proofErr w:type="gramEnd"/>
      <w:r>
        <w:rPr>
          <w:rFonts w:ascii="Liberation Serif" w:hAnsi="Liberation Serif"/>
          <w:i/>
          <w:iCs/>
          <w:color w:val="000000"/>
          <w:sz w:val="24"/>
        </w:rPr>
        <w:t>утв. президиумом Совета при Президенте РФ по стратегическому развитию и национальным проектам, протокол от 24.12.2018 N 16))</w:t>
      </w:r>
    </w:p>
    <w:p w:rsidR="00CB19F8" w:rsidRDefault="00CB19F8" w:rsidP="00CB19F8">
      <w:pPr>
        <w:pStyle w:val="midnightblueLTGliederung1"/>
        <w:spacing w:line="276" w:lineRule="auto"/>
        <w:jc w:val="center"/>
        <w:rPr>
          <w:rFonts w:ascii="Liberation Serif" w:hAnsi="Liberation Serif"/>
          <w:b/>
          <w:color w:val="990000"/>
          <w:sz w:val="24"/>
        </w:rPr>
      </w:pPr>
      <w:r>
        <w:rPr>
          <w:rFonts w:ascii="Liberation Serif" w:hAnsi="Liberation Serif"/>
          <w:b/>
          <w:color w:val="990000"/>
          <w:sz w:val="24"/>
        </w:rPr>
        <w:t>«Национальный проект «Здравоохранение»</w:t>
      </w:r>
    </w:p>
    <w:p w:rsidR="00CB19F8" w:rsidRDefault="00CB19F8" w:rsidP="00CB19F8">
      <w:pPr>
        <w:pStyle w:val="midnightblueLTUntertitel"/>
        <w:spacing w:after="112"/>
        <w:jc w:val="both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1. Региональный проект "Развитие детского здравоохранения, включая создание современной инфраструктуры оказания медицинской помощи детям"</w:t>
      </w:r>
    </w:p>
    <w:p w:rsidR="00CB19F8" w:rsidRDefault="00CB19F8" w:rsidP="00CB19F8">
      <w:pPr>
        <w:pStyle w:val="midnightblueLTUntertitel"/>
        <w:spacing w:after="112"/>
        <w:jc w:val="both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2. Региональный проект "Создание единого цифрового контура в здравоохранении на основе единой государственной системы здравоохранения"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3. Региональный проект "Развитие системы оказания первичной медико-санитарной помощи"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4. Региональный проект "Обеспечение медицинских организаций системы здравоохранения квалифицированными кадрами"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 xml:space="preserve">5. Региональный проект "Борьба с </w:t>
      </w:r>
      <w:proofErr w:type="gramStart"/>
      <w:r>
        <w:rPr>
          <w:rFonts w:ascii="Liberation Serif" w:hAnsi="Liberation Serif"/>
          <w:b/>
          <w:bCs/>
          <w:sz w:val="24"/>
        </w:rPr>
        <w:t>сердечно-сосудистыми</w:t>
      </w:r>
      <w:proofErr w:type="gramEnd"/>
      <w:r>
        <w:rPr>
          <w:rFonts w:ascii="Liberation Serif" w:hAnsi="Liberation Serif"/>
          <w:b/>
          <w:bCs/>
          <w:sz w:val="24"/>
        </w:rPr>
        <w:t xml:space="preserve"> заболеваниями"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6. Региональный проект "Борьба с онкологическими заболеваниями"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7. Региональный проект "Развитие экспорта медицинских услуг"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sz w:val="24"/>
        </w:rPr>
      </w:pPr>
      <w:r>
        <w:rPr>
          <w:rFonts w:ascii="Liberation Serif" w:hAnsi="Liberation Serif"/>
          <w:b/>
          <w:bCs/>
          <w:sz w:val="24"/>
        </w:rPr>
        <w:t>8. Региональный проект "Формирование системы мотивации граждан к здоровому образу жизни, включая здоровое питание и отказ от вредных привычек"</w:t>
      </w:r>
    </w:p>
    <w:p w:rsidR="00CB19F8" w:rsidRDefault="00CB19F8" w:rsidP="00CB19F8">
      <w:pPr>
        <w:pStyle w:val="midnightblueLTUntertitel"/>
        <w:rPr>
          <w:rFonts w:ascii="Liberation Serif" w:hAnsi="Liberation Serif"/>
          <w:b/>
          <w:bCs/>
          <w:color w:val="990000"/>
          <w:sz w:val="24"/>
        </w:rPr>
      </w:pPr>
      <w:r>
        <w:rPr>
          <w:rFonts w:ascii="Liberation Serif" w:hAnsi="Liberation Serif"/>
          <w:b/>
          <w:bCs/>
          <w:color w:val="990000"/>
          <w:sz w:val="24"/>
        </w:rPr>
        <w:t>Национальный проект «Демография»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>Региональный проект «Старшее поколение»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>Региональный проект «Укрепление общественного здоровья»</w:t>
      </w: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Cs/>
          <w:color w:val="000000"/>
          <w:sz w:val="24"/>
        </w:rPr>
      </w:pPr>
    </w:p>
    <w:p w:rsidR="00CB19F8" w:rsidRDefault="00CB19F8" w:rsidP="00CB19F8">
      <w:pPr>
        <w:pStyle w:val="midnightblueLTUntertitel"/>
        <w:jc w:val="left"/>
        <w:rPr>
          <w:rFonts w:ascii="Liberation Serif" w:hAnsi="Liberation Serif"/>
          <w:bCs/>
          <w:color w:val="000000"/>
          <w:sz w:val="24"/>
        </w:rPr>
      </w:pPr>
      <w:r>
        <w:rPr>
          <w:rFonts w:ascii="Liberation Serif" w:hAnsi="Liberation Serif"/>
          <w:bCs/>
          <w:color w:val="000000"/>
          <w:sz w:val="24"/>
        </w:rPr>
        <w:t xml:space="preserve"> </w:t>
      </w:r>
    </w:p>
    <w:p w:rsidR="00CB19F8" w:rsidRDefault="00CB19F8" w:rsidP="00CB19F8">
      <w:pPr>
        <w:pStyle w:val="midnightblueLTUntertitel"/>
        <w:spacing w:after="283"/>
        <w:jc w:val="left"/>
        <w:rPr>
          <w:rFonts w:ascii="Liberation Serif" w:hAnsi="Liberation Serif"/>
          <w:b/>
          <w:bCs/>
          <w:sz w:val="24"/>
          <w:u w:val="single"/>
        </w:rPr>
      </w:pPr>
      <w:r>
        <w:rPr>
          <w:rFonts w:ascii="Liberation Serif" w:hAnsi="Liberation Serif"/>
          <w:b/>
          <w:bCs/>
          <w:sz w:val="24"/>
          <w:u w:val="single"/>
        </w:rPr>
        <w:t xml:space="preserve">1.  </w:t>
      </w:r>
      <w:r>
        <w:rPr>
          <w:rFonts w:ascii="Liberation Serif" w:hAnsi="Liberation Serif"/>
          <w:b/>
          <w:bCs/>
          <w:color w:val="000000"/>
          <w:sz w:val="24"/>
          <w:u w:val="single"/>
        </w:rPr>
        <w:t>Региональный проект "Развитие детского здравоохранения, включая создание современной инфраструктуры оказания медицинской помощи детям"</w:t>
      </w: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tbl>
      <w:tblPr>
        <w:tblW w:w="964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2"/>
        <w:gridCol w:w="1398"/>
        <w:gridCol w:w="1458"/>
        <w:gridCol w:w="1547"/>
      </w:tblGrid>
      <w:tr w:rsidR="00CB19F8" w:rsidTr="00CB19F8">
        <w:trPr>
          <w:trHeight w:val="1443"/>
        </w:trPr>
        <w:tc>
          <w:tcPr>
            <w:tcW w:w="52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rPr>
                <w:color w:val="000000"/>
              </w:rPr>
              <w:t>П</w:t>
            </w:r>
            <w:r>
              <w:t>оказатель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4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5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091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Снижение младенческой смертности (до 4,5 случая на 1 тыс. родившихся детей), промилле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3,4000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5,8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146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преждевременных родов (22-37 недель) в перинатальных центрах (%),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65,0000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1,4</w:t>
            </w:r>
          </w:p>
        </w:tc>
      </w:tr>
      <w:tr w:rsidR="00CB19F8" w:rsidTr="00CB19F8">
        <w:trPr>
          <w:trHeight w:val="1039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Смертность детей в возрасте 0-4 года на 1000 родившихся живыми, промилле</w:t>
            </w:r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4,1000</w:t>
            </w:r>
            <w:r>
              <w:br/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5,8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049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Смертность детей в возрасте 0-17 лет на 100 000 детей соответствующего возраста, на 100 </w:t>
            </w:r>
            <w:proofErr w:type="spellStart"/>
            <w:r>
              <w:t>тыс</w:t>
            </w:r>
            <w:proofErr w:type="gramStart"/>
            <w:r>
              <w:t>.д</w:t>
            </w:r>
            <w:proofErr w:type="gramEnd"/>
            <w:r>
              <w:t>етей</w:t>
            </w:r>
            <w:proofErr w:type="spell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44,6000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0,2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118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посещений детьми медицинских организаций с профилактическими целями,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52,0000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51,7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50,6</w:t>
            </w:r>
          </w:p>
        </w:tc>
      </w:tr>
      <w:tr w:rsidR="00CB19F8" w:rsidTr="00CB19F8">
        <w:trPr>
          <w:trHeight w:val="1443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Доля взятых под диспансерное наблюдение детей в возрасте 0 - 17 лет с впервые в жизни установленными диагнозами болезней костно-мышечной</w:t>
            </w:r>
            <w:r>
              <w:br/>
              <w:t xml:space="preserve">системы и соединительной ткани,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  <w:r>
              <w:br/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4,9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4,2</w:t>
            </w:r>
          </w:p>
        </w:tc>
      </w:tr>
      <w:tr w:rsidR="00CB19F8" w:rsidTr="00CB19F8">
        <w:trPr>
          <w:trHeight w:val="1443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Доля взятых под диспансерное наблюдение детей в возрасте 0 - 17 лет с впервые в жизни установленными диагнозами болезней глаза и его</w:t>
            </w:r>
            <w:r>
              <w:br/>
              <w:t xml:space="preserve">придаточного аппарата,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  <w:r>
              <w:br/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1,3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1,1</w:t>
            </w:r>
          </w:p>
        </w:tc>
      </w:tr>
      <w:tr w:rsidR="00CB19F8" w:rsidTr="00CB19F8">
        <w:trPr>
          <w:trHeight w:val="1049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взятых под диспансерное наблюдение детей в возрасте 0-17 лет с впервые в жизни установленными диагнозами болезней органов пищеварения,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1,1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8,0</w:t>
            </w:r>
          </w:p>
        </w:tc>
      </w:tr>
      <w:tr w:rsidR="00CB19F8" w:rsidTr="00CB19F8">
        <w:trPr>
          <w:trHeight w:val="1443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Доля взятых под диспансерное наблюдение детей в возрасте 0-17 лет с впервые в жизни установленными диагнозами болезней системы</w:t>
            </w:r>
            <w:r>
              <w:br/>
              <w:t xml:space="preserve">кровообращения,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  <w:r>
              <w:br/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50,0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100</w:t>
            </w:r>
          </w:p>
        </w:tc>
      </w:tr>
      <w:tr w:rsidR="00CB19F8" w:rsidTr="00CB19F8">
        <w:trPr>
          <w:trHeight w:val="1454"/>
        </w:trPr>
        <w:tc>
          <w:tcPr>
            <w:tcW w:w="523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Доля взятых под диспансерное наблюдение детей в возрасте 0 - 17 лет с впервые в жизни установленными диагнозами болезней эндокринной системы,</w:t>
            </w:r>
            <w:r>
              <w:br/>
              <w:t xml:space="preserve">расстройств питания и нарушения обмена веществ,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</w:p>
        </w:tc>
        <w:tc>
          <w:tcPr>
            <w:tcW w:w="14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84.2</w:t>
            </w:r>
          </w:p>
        </w:tc>
        <w:tc>
          <w:tcPr>
            <w:tcW w:w="154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80,0</w:t>
            </w:r>
          </w:p>
        </w:tc>
      </w:tr>
    </w:tbl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>2. Региональный проект «Создание единого цифрового контура в здравоохранении на основе единой государственной системы здравоохранения»  ной государственной системы здравоохранения»</w:t>
      </w: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5"/>
        <w:gridCol w:w="2321"/>
        <w:gridCol w:w="2214"/>
        <w:gridCol w:w="2275"/>
      </w:tblGrid>
      <w:tr w:rsidR="00CB19F8" w:rsidTr="00CB19F8">
        <w:trPr>
          <w:trHeight w:val="1363"/>
        </w:trPr>
        <w:tc>
          <w:tcPr>
            <w:tcW w:w="2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rPr>
                <w:color w:val="000000"/>
              </w:rPr>
              <w:t>П</w:t>
            </w:r>
            <w:r>
              <w:t>оказатель</w:t>
            </w:r>
          </w:p>
        </w:tc>
        <w:tc>
          <w:tcPr>
            <w:tcW w:w="2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2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2625"/>
        </w:trPr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Число граждан, воспользовавшихся услугами (сервисами) в Личном кабинете пациента «Мое здоровье» на Едином портале государственных услуг и</w:t>
            </w:r>
            <w:r>
              <w:br/>
              <w:t xml:space="preserve">функций в отчетном году, </w:t>
            </w:r>
            <w:proofErr w:type="spellStart"/>
            <w:r>
              <w:t>тыс</w:t>
            </w:r>
            <w:proofErr w:type="gramStart"/>
            <w:r>
              <w:t>.ч</w:t>
            </w:r>
            <w:proofErr w:type="gramEnd"/>
            <w:r>
              <w:t>ел</w:t>
            </w:r>
            <w:proofErr w:type="spellEnd"/>
            <w:r>
              <w:t>.</w:t>
            </w:r>
          </w:p>
        </w:tc>
        <w:tc>
          <w:tcPr>
            <w:tcW w:w="2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333,5600</w:t>
            </w:r>
            <w:r>
              <w:br/>
            </w:r>
          </w:p>
        </w:tc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0,234</w:t>
            </w: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4595"/>
        </w:trPr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медицинских организаций государственной и муниципальной систем здравоохранения, обеспечивающих доступ гражданам к электронным</w:t>
            </w:r>
            <w:r>
              <w:br/>
              <w:t xml:space="preserve">медицинским документам в Личном кабинете пациента «Мое здоровье» на Едином портале государственных услуг и функций,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  <w:r>
              <w:br/>
            </w:r>
          </w:p>
        </w:tc>
        <w:tc>
          <w:tcPr>
            <w:tcW w:w="2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100,0000</w:t>
            </w:r>
          </w:p>
        </w:tc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3809"/>
        </w:trPr>
        <w:tc>
          <w:tcPr>
            <w:tcW w:w="28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государственных и</w:t>
            </w:r>
            <w:r>
              <w:br/>
              <w:t>муниципальных медицинских</w:t>
            </w:r>
            <w:r>
              <w:br/>
              <w:t>организаций субъекта Российской</w:t>
            </w:r>
            <w:r>
              <w:br/>
              <w:t>Федерации, обеспечивающих</w:t>
            </w:r>
            <w:r>
              <w:br/>
              <w:t>информационное взаимодействие с</w:t>
            </w:r>
            <w:r>
              <w:br/>
              <w:t>информационными системами Фонда</w:t>
            </w:r>
            <w:r>
              <w:br/>
              <w:t>социального страхования в</w:t>
            </w:r>
            <w:r>
              <w:br/>
              <w:t>электронном виде, %*, проц.</w:t>
            </w:r>
          </w:p>
        </w:tc>
        <w:tc>
          <w:tcPr>
            <w:tcW w:w="2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100,0000</w:t>
            </w:r>
          </w:p>
        </w:tc>
        <w:tc>
          <w:tcPr>
            <w:tcW w:w="22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227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</w:tbl>
    <w:p w:rsidR="00CB19F8" w:rsidRDefault="00CB19F8" w:rsidP="00CB19F8">
      <w:pPr>
        <w:pStyle w:val="Standard"/>
      </w:pP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>3. Региональный проект «Развитие системы оказания первичной медико-санитарной помощи»</w:t>
      </w:r>
    </w:p>
    <w:p w:rsidR="00CB19F8" w:rsidRDefault="00CB19F8" w:rsidP="00CB19F8">
      <w:pPr>
        <w:pStyle w:val="Standard"/>
        <w:rPr>
          <w:b/>
          <w:bCs/>
          <w:color w:val="000000"/>
        </w:rPr>
      </w:pP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3"/>
        <w:gridCol w:w="1772"/>
        <w:gridCol w:w="1673"/>
        <w:gridCol w:w="1667"/>
      </w:tblGrid>
      <w:tr w:rsidR="00CB19F8" w:rsidTr="00CB19F8">
        <w:trPr>
          <w:trHeight w:val="1443"/>
        </w:trPr>
        <w:tc>
          <w:tcPr>
            <w:tcW w:w="4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rPr>
                <w:color w:val="000000"/>
              </w:rPr>
              <w:t>П</w:t>
            </w:r>
            <w:r>
              <w:t>оказатель</w:t>
            </w:r>
          </w:p>
        </w:tc>
        <w:tc>
          <w:tcPr>
            <w:tcW w:w="17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049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 xml:space="preserve">Число граждан, прошедших профилактические осмотры, </w:t>
            </w:r>
            <w:proofErr w:type="gramStart"/>
            <w:r>
              <w:t>млн</w:t>
            </w:r>
            <w:proofErr w:type="gramEnd"/>
            <w:r>
              <w:t xml:space="preserve"> чел</w:t>
            </w:r>
            <w:r>
              <w:br/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0,7660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0,009233</w:t>
            </w: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0,002609</w:t>
            </w:r>
          </w:p>
        </w:tc>
      </w:tr>
      <w:tr w:rsidR="00CB19F8" w:rsidTr="00CB19F8">
        <w:trPr>
          <w:trHeight w:val="1443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впервые в жизни установленных неинфекционных заболеваний,</w:t>
            </w:r>
            <w:r>
              <w:br/>
              <w:t xml:space="preserve">выявленных при проведении диспансеризации и профилактическом медицинском осмотре,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20,0000</w:t>
            </w:r>
            <w:r>
              <w:br/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0,3</w:t>
            </w: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0,2</w:t>
            </w:r>
          </w:p>
        </w:tc>
      </w:tr>
      <w:tr w:rsidR="00CB19F8" w:rsidTr="00CB19F8">
        <w:trPr>
          <w:trHeight w:val="1631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Количество медицинских организаций, участвующих в создании и тиражировании «Новой модели медицинской организации,</w:t>
            </w:r>
            <w:r>
              <w:br/>
              <w:t xml:space="preserve">оказывающей первичную </w:t>
            </w:r>
            <w:proofErr w:type="spellStart"/>
            <w:r>
              <w:t>медикосанитарную</w:t>
            </w:r>
            <w:proofErr w:type="spellEnd"/>
            <w:r>
              <w:t xml:space="preserve"> помощь»,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74,0000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1064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записей к врачу, совершенных гражданами без очного обращения в регистратуру медицинской организации,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65,0000</w:t>
            </w:r>
            <w:r>
              <w:br/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1443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обоснованных жалоб (от общего количества поступивших жалоб),</w:t>
            </w:r>
            <w:r>
              <w:br/>
              <w:t>урегулированных в досудебном порядке страховыми медицинскими</w:t>
            </w:r>
            <w:r>
              <w:br/>
              <w:t xml:space="preserve">организациями,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74,6000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2625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медицинских организаций, оказывающих в рамках обязательного</w:t>
            </w:r>
            <w:r>
              <w:br/>
              <w:t>медицинского страхования первичную медико-санитарную</w:t>
            </w:r>
            <w:r>
              <w:br/>
              <w:t>помощь, на базе которых функционируют каналы связи</w:t>
            </w:r>
            <w:r>
              <w:br/>
              <w:t>граждан со страховыми представителями страховых</w:t>
            </w:r>
            <w:r>
              <w:br/>
              <w:t>медицинских организаций (пост страхового представителя, телефон,</w:t>
            </w:r>
            <w:r>
              <w:br/>
              <w:t xml:space="preserve">терминал для связи со страховым представителем),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95,1000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1079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Число лиц (пациентов), дополнительно эвакуированных с</w:t>
            </w:r>
            <w:r>
              <w:br/>
              <w:t>использованием санитарной авиации (ежегодно, человек) не менее, чел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281,0000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1152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Количество посещений при выездах мобильных медицинских бригад,</w:t>
            </w:r>
            <w:r>
              <w:br/>
              <w:t>тысяча посещений</w:t>
            </w:r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52,9000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8232</w:t>
            </w: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7902</w:t>
            </w:r>
          </w:p>
        </w:tc>
      </w:tr>
      <w:tr w:rsidR="00CB19F8" w:rsidTr="00CB19F8">
        <w:trPr>
          <w:trHeight w:val="1666"/>
        </w:trPr>
        <w:tc>
          <w:tcPr>
            <w:tcW w:w="452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лиц, госпитализированных по экстренным показаниям в течение</w:t>
            </w:r>
            <w:r>
              <w:br/>
              <w:t>первых суток от общего числа больных, к которым совершены</w:t>
            </w:r>
            <w:r>
              <w:br/>
              <w:t xml:space="preserve">вылеты,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7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</w:p>
        </w:tc>
        <w:tc>
          <w:tcPr>
            <w:tcW w:w="167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66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</w:tbl>
    <w:p w:rsidR="00CB19F8" w:rsidRDefault="00CB19F8" w:rsidP="00CB19F8">
      <w:pPr>
        <w:pStyle w:val="Standard"/>
      </w:pPr>
    </w:p>
    <w:p w:rsidR="00CB19F8" w:rsidRDefault="00CB19F8" w:rsidP="00CB19F8">
      <w:pPr>
        <w:pStyle w:val="Standard"/>
        <w:rPr>
          <w:b/>
          <w:bCs/>
          <w:color w:val="000000"/>
        </w:rPr>
      </w:pP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>4.Региональный проект «Обеспечение медицинских организаций системы здравоохранения квалифицированными кадрами»</w:t>
      </w:r>
    </w:p>
    <w:p w:rsidR="00CB19F8" w:rsidRDefault="00CB19F8" w:rsidP="00CB19F8">
      <w:pPr>
        <w:pStyle w:val="midnightblueLTTitel"/>
        <w:rPr>
          <w:rFonts w:ascii="Liberation Serif" w:hAnsi="Liberation Serif"/>
          <w:sz w:val="24"/>
        </w:rPr>
      </w:pPr>
      <w:r>
        <w:rPr>
          <w:rFonts w:ascii="Liberation Serif" w:hAnsi="Liberation Serif"/>
          <w:sz w:val="24"/>
        </w:rPr>
        <w:t xml:space="preserve"> </w:t>
      </w: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1"/>
        <w:gridCol w:w="1340"/>
        <w:gridCol w:w="1754"/>
        <w:gridCol w:w="1750"/>
      </w:tblGrid>
      <w:tr w:rsidR="00CB19F8" w:rsidTr="00CB19F8">
        <w:trPr>
          <w:trHeight w:val="1443"/>
        </w:trPr>
        <w:tc>
          <w:tcPr>
            <w:tcW w:w="47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Показатель</w:t>
            </w:r>
          </w:p>
        </w:tc>
        <w:tc>
          <w:tcPr>
            <w:tcW w:w="1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7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999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Укомплектованность должностей среднего медицинского персонала в подразделениях, оказывающих медицинскую помощь в амбулаторных условиях (физическими лицами при коэффициенте совместительства 1,2),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95,0000</w:t>
            </w:r>
            <w:r>
              <w:br/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108,1 %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107,2%</w:t>
            </w:r>
          </w:p>
        </w:tc>
      </w:tr>
      <w:tr w:rsidR="00CB19F8" w:rsidTr="00CB19F8">
        <w:trPr>
          <w:trHeight w:val="1999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Укомплектованность врачебных должностей в подразделениях, оказывающих медицинскую помощь в амбулаторных условиях (физическими лицами при коэффициенте совместительства 1,2),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90,3000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80,7 %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81,4%</w:t>
            </w:r>
          </w:p>
        </w:tc>
      </w:tr>
      <w:tr w:rsidR="00CB19F8" w:rsidTr="00CB19F8">
        <w:trPr>
          <w:trHeight w:val="1527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Число специалистов, вовлеченных в систему непрерывного образования медицинских работников, в том числе</w:t>
            </w:r>
            <w:r>
              <w:br/>
              <w:t>с использованием дистанционных образовательных технологий</w:t>
            </w:r>
            <w:proofErr w:type="gramStart"/>
            <w:r>
              <w:t xml:space="preserve"> ,</w:t>
            </w:r>
            <w:proofErr w:type="gramEnd"/>
            <w:r>
              <w:t xml:space="preserve"> тыс. чел.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14 000,0000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36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169</w:t>
            </w:r>
          </w:p>
        </w:tc>
      </w:tr>
      <w:tr w:rsidR="00CB19F8" w:rsidTr="00CB19F8">
        <w:trPr>
          <w:trHeight w:val="1055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Обеспеченность врачами, работающими в государственных и муниципальных медицинских организациях, (чел. на 10 тыс. населения), чел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45,7000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27,4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27,9</w:t>
            </w:r>
          </w:p>
        </w:tc>
      </w:tr>
      <w:tr w:rsidR="00CB19F8" w:rsidTr="00CB19F8">
        <w:trPr>
          <w:trHeight w:val="1454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Обеспеченность средними медицинскими работниками, работающими в государственных и муниципальных медицинских организациях, (чел. на 10 </w:t>
            </w:r>
            <w:proofErr w:type="spellStart"/>
            <w:r>
              <w:t>тыс</w:t>
            </w:r>
            <w:proofErr w:type="gramStart"/>
            <w:r>
              <w:t>.н</w:t>
            </w:r>
            <w:proofErr w:type="gramEnd"/>
            <w:r>
              <w:t>аселения</w:t>
            </w:r>
            <w:proofErr w:type="spellEnd"/>
            <w:r>
              <w:t>), чел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89,6000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100,1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99,1</w:t>
            </w:r>
          </w:p>
        </w:tc>
      </w:tr>
      <w:tr w:rsidR="00CB19F8" w:rsidTr="00CB19F8">
        <w:trPr>
          <w:trHeight w:val="1119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Обеспеченность населения врачами, оказывающими медицинскую</w:t>
            </w:r>
            <w:r>
              <w:br/>
              <w:t>помощь в амбулаторных условиях, (чел. на 10 тыс. населения), чел</w:t>
            </w:r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22,0000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19,3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19,8</w:t>
            </w:r>
          </w:p>
        </w:tc>
      </w:tr>
      <w:tr w:rsidR="00CB19F8" w:rsidTr="00CB19F8">
        <w:trPr>
          <w:trHeight w:val="1720"/>
        </w:trPr>
        <w:tc>
          <w:tcPr>
            <w:tcW w:w="479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специалистов, допущенных к профессиональной деятельности</w:t>
            </w:r>
            <w:r>
              <w:br/>
              <w:t>через процедуру аккредитации, от общего количества работающих</w:t>
            </w:r>
            <w:r>
              <w:br/>
              <w:t xml:space="preserve">специалистов, (%),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87,7000</w:t>
            </w:r>
          </w:p>
        </w:tc>
        <w:tc>
          <w:tcPr>
            <w:tcW w:w="175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2,4%</w:t>
            </w:r>
          </w:p>
        </w:tc>
        <w:tc>
          <w:tcPr>
            <w:tcW w:w="174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3,6%</w:t>
            </w:r>
          </w:p>
        </w:tc>
      </w:tr>
    </w:tbl>
    <w:p w:rsidR="00CB19F8" w:rsidRDefault="00CB19F8" w:rsidP="00CB19F8">
      <w:pPr>
        <w:pStyle w:val="Standard"/>
      </w:pPr>
    </w:p>
    <w:p w:rsidR="00CB19F8" w:rsidRDefault="00CB19F8" w:rsidP="00CB19F8">
      <w:pPr>
        <w:pStyle w:val="Standard"/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  <w:r>
        <w:rPr>
          <w:rFonts w:ascii="Liberation Serif" w:hAnsi="Liberation Serif" w:cs="Times New Roman"/>
          <w:b/>
          <w:bCs/>
          <w:color w:val="000000"/>
          <w:sz w:val="24"/>
        </w:rPr>
        <w:t xml:space="preserve">5. Региональный проект «Борьба с </w:t>
      </w:r>
      <w:proofErr w:type="gramStart"/>
      <w:r>
        <w:rPr>
          <w:rFonts w:ascii="Liberation Serif" w:hAnsi="Liberation Serif" w:cs="Times New Roman"/>
          <w:b/>
          <w:bCs/>
          <w:color w:val="000000"/>
          <w:sz w:val="24"/>
        </w:rPr>
        <w:t>сердечно-сосудистыми</w:t>
      </w:r>
      <w:proofErr w:type="gramEnd"/>
      <w:r>
        <w:rPr>
          <w:rFonts w:ascii="Liberation Serif" w:hAnsi="Liberation Serif" w:cs="Times New Roman"/>
          <w:b/>
          <w:bCs/>
          <w:color w:val="000000"/>
          <w:sz w:val="24"/>
        </w:rPr>
        <w:t xml:space="preserve"> заболеваниями»</w:t>
      </w: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tbl>
      <w:tblPr>
        <w:tblW w:w="964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1333"/>
        <w:gridCol w:w="1523"/>
        <w:gridCol w:w="1549"/>
      </w:tblGrid>
      <w:tr w:rsidR="00CB19F8" w:rsidTr="00CB19F8">
        <w:trPr>
          <w:trHeight w:val="1837"/>
        </w:trPr>
        <w:tc>
          <w:tcPr>
            <w:tcW w:w="5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Показатель</w:t>
            </w:r>
          </w:p>
        </w:tc>
        <w:tc>
          <w:tcPr>
            <w:tcW w:w="13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5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749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Снижение в Томской области смертности от острого нарушения мозгового кровообращения геморрагического характера (субарахноидальное кровоизлияние,</w:t>
            </w:r>
            <w:r>
              <w:br/>
              <w:t>внутримозговое и другие внутричерепные кровоизлияния), на 100 тысяч человек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20,8000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10,2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15,2</w:t>
            </w:r>
          </w:p>
        </w:tc>
      </w:tr>
      <w:tr w:rsidR="00CB19F8" w:rsidTr="00CB19F8">
        <w:trPr>
          <w:trHeight w:val="1443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пациентов в Томской области с острым и повторным инфарктом миокарда, которым была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 бригадами скорой медицинской помощи, %</w:t>
            </w:r>
            <w:proofErr w:type="gramStart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проц</w:t>
            </w:r>
            <w:proofErr w:type="spellEnd"/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90,0000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499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пациентов в Томской области с острыми цереброваскулярными болезнями, поступивших в первые 6 часов, которым была проведена </w:t>
            </w:r>
            <w:proofErr w:type="spellStart"/>
            <w:r>
              <w:t>тромболитическая</w:t>
            </w:r>
            <w:proofErr w:type="spellEnd"/>
            <w:r>
              <w:t xml:space="preserve"> терапия,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20,0000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200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Снижение в Томской области смертности от болезней системы кровообращения (до 372,2 случаев на 100 тыс. населения), на 100 тысяч человек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372,2000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548,7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279,4</w:t>
            </w:r>
          </w:p>
        </w:tc>
      </w:tr>
      <w:tr w:rsidR="00CB19F8" w:rsidTr="00CB19F8">
        <w:trPr>
          <w:trHeight w:val="1443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Снижение в Томской области смертности от острого нарушения мозгового кровообращения ишемического характера (инфаркт мозга, </w:t>
            </w:r>
            <w:proofErr w:type="gramStart"/>
            <w:r>
              <w:t>инсульт</w:t>
            </w:r>
            <w:proofErr w:type="gramEnd"/>
            <w:r>
              <w:t xml:space="preserve"> не уточненный как кровоизлияние или инфаркт), на 100 тысяч человек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44,5000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40,6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30,5</w:t>
            </w:r>
          </w:p>
        </w:tc>
      </w:tr>
      <w:tr w:rsidR="00CB19F8" w:rsidTr="00CB19F8">
        <w:trPr>
          <w:trHeight w:val="793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Смертности от инфаркта миокарда, на 100 тыс. населения, чел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55,7000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25,4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10,2</w:t>
            </w:r>
          </w:p>
        </w:tc>
      </w:tr>
      <w:tr w:rsidR="00CB19F8" w:rsidTr="00CB19F8">
        <w:trPr>
          <w:trHeight w:val="1049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Смертность от острого нарушения мозгового кровообращения, на 100 тыс. населения, чел</w:t>
            </w:r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65,3000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50,8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45,7</w:t>
            </w:r>
          </w:p>
        </w:tc>
      </w:tr>
      <w:tr w:rsidR="00CB19F8" w:rsidTr="00CB19F8">
        <w:trPr>
          <w:trHeight w:val="670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Больничная летальность от инфаркта миокарда,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8,0000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50,0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100,0</w:t>
            </w:r>
          </w:p>
        </w:tc>
      </w:tr>
      <w:tr w:rsidR="00CB19F8" w:rsidTr="00CB19F8">
        <w:trPr>
          <w:trHeight w:val="1120"/>
        </w:trPr>
        <w:tc>
          <w:tcPr>
            <w:tcW w:w="523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Больничная летальность от острого нарушения мозгового кровообращения,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14,0000</w:t>
            </w:r>
          </w:p>
        </w:tc>
        <w:tc>
          <w:tcPr>
            <w:tcW w:w="15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54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100,0</w:t>
            </w:r>
          </w:p>
        </w:tc>
      </w:tr>
    </w:tbl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  <w:r>
        <w:rPr>
          <w:rFonts w:ascii="Liberation Serif" w:hAnsi="Liberation Serif" w:cs="Times New Roman"/>
          <w:b/>
          <w:bCs/>
          <w:color w:val="000000"/>
          <w:sz w:val="24"/>
        </w:rPr>
        <w:t>6. Региональный проект «Борьба с онкологическими заболеваниями»</w:t>
      </w: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34"/>
        <w:gridCol w:w="1362"/>
        <w:gridCol w:w="1595"/>
        <w:gridCol w:w="1554"/>
      </w:tblGrid>
      <w:tr w:rsidR="00CB19F8" w:rsidTr="00CB19F8">
        <w:trPr>
          <w:trHeight w:val="1443"/>
        </w:trPr>
        <w:tc>
          <w:tcPr>
            <w:tcW w:w="5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Показатель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142"/>
        </w:trPr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Смертность от новообразований, в том числе от злокачественных в Томской области, на 100 тыс. населения, на 100 тысяч </w:t>
            </w:r>
            <w:proofErr w:type="spellStart"/>
            <w:r>
              <w:t>челове</w:t>
            </w:r>
            <w:proofErr w:type="spellEnd"/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205,0000</w:t>
            </w: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208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66</w:t>
            </w:r>
          </w:p>
        </w:tc>
      </w:tr>
      <w:tr w:rsidR="00CB19F8" w:rsidTr="00CB19F8">
        <w:trPr>
          <w:trHeight w:val="1443"/>
        </w:trPr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Распространенность онкологических заболеваний (сумма вновь заболевших и</w:t>
            </w:r>
            <w:r>
              <w:br/>
              <w:t>состоящих на учете) в Томской области, на 100 тыс. населения, на 100 тысяч человек</w:t>
            </w:r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2 624,8000</w:t>
            </w: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345,5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152,4</w:t>
            </w:r>
          </w:p>
        </w:tc>
      </w:tr>
      <w:tr w:rsidR="00CB19F8" w:rsidTr="00CB19F8">
        <w:trPr>
          <w:trHeight w:val="864"/>
        </w:trPr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Доля злокачественных новообразований, выявленных на ранних стадиях,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63,0000</w:t>
            </w: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58,3%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53%</w:t>
            </w:r>
          </w:p>
        </w:tc>
      </w:tr>
      <w:tr w:rsidR="00CB19F8" w:rsidTr="00CB19F8">
        <w:trPr>
          <w:trHeight w:val="1102"/>
        </w:trPr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Удельный вес больных со злокачественными новообразованиями, состоящих на</w:t>
            </w:r>
            <w:r>
              <w:br/>
              <w:t xml:space="preserve">учете 5 лет и более,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60,0000</w:t>
            </w:r>
            <w:r>
              <w:br/>
            </w: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53,1%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53,1%</w:t>
            </w:r>
          </w:p>
        </w:tc>
      </w:tr>
      <w:tr w:rsidR="00CB19F8" w:rsidTr="00CB19F8">
        <w:trPr>
          <w:trHeight w:val="1445"/>
        </w:trPr>
        <w:tc>
          <w:tcPr>
            <w:tcW w:w="513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Одногодичная летальность больных со злокачественными новообразованиями (умерли в течение первого года с момента установления диагноза из числа</w:t>
            </w:r>
            <w:r>
              <w:br/>
              <w:t xml:space="preserve">больных, впервые взятых на учет в предыдущем году), %, </w:t>
            </w:r>
            <w:proofErr w:type="spellStart"/>
            <w:proofErr w:type="gramStart"/>
            <w:r>
              <w:t>проц</w:t>
            </w:r>
            <w:proofErr w:type="spellEnd"/>
            <w:proofErr w:type="gramEnd"/>
          </w:p>
        </w:tc>
        <w:tc>
          <w:tcPr>
            <w:tcW w:w="136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17,3000</w:t>
            </w:r>
            <w:r>
              <w:br/>
            </w:r>
          </w:p>
        </w:tc>
        <w:tc>
          <w:tcPr>
            <w:tcW w:w="159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25%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10%</w:t>
            </w:r>
          </w:p>
        </w:tc>
      </w:tr>
    </w:tbl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  <w:r>
        <w:rPr>
          <w:rFonts w:ascii="Liberation Serif" w:hAnsi="Liberation Serif" w:cs="Times New Roman"/>
          <w:b/>
          <w:bCs/>
          <w:color w:val="000000"/>
          <w:sz w:val="24"/>
        </w:rPr>
        <w:t>7. Региональный проект «Развитие экспорта медицинских услуг»</w:t>
      </w: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6"/>
        <w:gridCol w:w="2424"/>
        <w:gridCol w:w="2405"/>
        <w:gridCol w:w="2410"/>
      </w:tblGrid>
      <w:tr w:rsidR="00CB19F8" w:rsidTr="00CB19F8">
        <w:trPr>
          <w:trHeight w:val="1049"/>
        </w:trPr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Показатель</w:t>
            </w:r>
          </w:p>
        </w:tc>
        <w:tc>
          <w:tcPr>
            <w:tcW w:w="24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2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617"/>
        </w:trPr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Количество пролеченных</w:t>
            </w:r>
            <w:r>
              <w:br/>
              <w:t xml:space="preserve">иностранных граждан (тыс. чел.),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чел</w:t>
            </w:r>
          </w:p>
        </w:tc>
        <w:tc>
          <w:tcPr>
            <w:tcW w:w="242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1,0000</w:t>
            </w:r>
            <w:r>
              <w:br/>
            </w:r>
          </w:p>
        </w:tc>
        <w:tc>
          <w:tcPr>
            <w:tcW w:w="24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0,5</w:t>
            </w:r>
          </w:p>
        </w:tc>
        <w:tc>
          <w:tcPr>
            <w:tcW w:w="240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0,4</w:t>
            </w:r>
          </w:p>
        </w:tc>
      </w:tr>
    </w:tbl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P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  <w:r w:rsidRPr="00CB19F8">
        <w:rPr>
          <w:rFonts w:ascii="Liberation Serif" w:hAnsi="Liberation Serif" w:cs="Times New Roman"/>
          <w:b/>
          <w:bCs/>
          <w:color w:val="000000"/>
          <w:sz w:val="24"/>
        </w:rPr>
        <w:t>8. Региональный проект «Формирование системы мотивации граждан к здоровому образу жизни, включая здоровое питание и отказ от вредных привычек»</w:t>
      </w:r>
    </w:p>
    <w:p w:rsidR="00CB19F8" w:rsidRP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tbl>
      <w:tblPr>
        <w:tblW w:w="9645" w:type="dxa"/>
        <w:tblInd w:w="-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5"/>
        <w:gridCol w:w="1810"/>
        <w:gridCol w:w="1740"/>
        <w:gridCol w:w="1420"/>
      </w:tblGrid>
      <w:tr w:rsidR="00CB19F8" w:rsidTr="00CB19F8">
        <w:trPr>
          <w:trHeight w:val="1999"/>
        </w:trPr>
        <w:tc>
          <w:tcPr>
            <w:tcW w:w="46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Показатель</w:t>
            </w:r>
          </w:p>
        </w:tc>
        <w:tc>
          <w:tcPr>
            <w:tcW w:w="1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7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999"/>
        </w:trPr>
        <w:tc>
          <w:tcPr>
            <w:tcW w:w="4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Розничные продажи алкогольной продукции на душу населения (в</w:t>
            </w:r>
            <w:r>
              <w:br/>
              <w:t xml:space="preserve">литрах этанола), </w:t>
            </w:r>
            <w:proofErr w:type="gramStart"/>
            <w:r>
              <w:t>л</w:t>
            </w:r>
            <w:proofErr w:type="gramEnd"/>
            <w:r>
              <w:t xml:space="preserve"> 100% спирта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4,6000</w:t>
            </w:r>
            <w:r>
              <w:br/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16 (0,8 случаев на 1 </w:t>
            </w:r>
            <w:proofErr w:type="spellStart"/>
            <w:r>
              <w:t>тыс</w:t>
            </w:r>
            <w:proofErr w:type="gramStart"/>
            <w:r>
              <w:t>.н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20 (1,0)</w:t>
            </w:r>
          </w:p>
        </w:tc>
      </w:tr>
      <w:tr w:rsidR="00CB19F8" w:rsidTr="00CB19F8">
        <w:trPr>
          <w:trHeight w:val="1999"/>
        </w:trPr>
        <w:tc>
          <w:tcPr>
            <w:tcW w:w="4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Смертность женщин в возрасте 16-54 лет</w:t>
            </w:r>
            <w:proofErr w:type="gramStart"/>
            <w:r>
              <w:t xml:space="preserve"> ,</w:t>
            </w:r>
            <w:proofErr w:type="gramEnd"/>
            <w:r>
              <w:t xml:space="preserve"> на 100 тысяч человек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199,2000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2004"/>
        </w:trPr>
        <w:tc>
          <w:tcPr>
            <w:tcW w:w="467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Смертность мужчин в возрасте 16-59 лет, на 100 тысяч человек</w:t>
            </w:r>
          </w:p>
        </w:tc>
        <w:tc>
          <w:tcPr>
            <w:tcW w:w="18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543,4000</w:t>
            </w:r>
          </w:p>
        </w:tc>
        <w:tc>
          <w:tcPr>
            <w:tcW w:w="17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51 (2,6 случаев на 1 </w:t>
            </w:r>
            <w:proofErr w:type="spellStart"/>
            <w:r>
              <w:t>тыс</w:t>
            </w:r>
            <w:proofErr w:type="gramStart"/>
            <w:r>
              <w:t>.н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41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B19F8" w:rsidRDefault="00CB19F8">
            <w:pPr>
              <w:pStyle w:val="Standard"/>
            </w:pPr>
            <w:r>
              <w:t>2 (0,1)</w:t>
            </w:r>
          </w:p>
        </w:tc>
      </w:tr>
    </w:tbl>
    <w:p w:rsidR="00CB19F8" w:rsidRDefault="00CB19F8" w:rsidP="00CB19F8">
      <w:pPr>
        <w:pStyle w:val="Standard"/>
      </w:pPr>
    </w:p>
    <w:p w:rsidR="00CB19F8" w:rsidRP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  <w:r w:rsidRPr="00CB19F8">
        <w:rPr>
          <w:rFonts w:ascii="Liberation Serif" w:hAnsi="Liberation Serif" w:cs="Times New Roman"/>
          <w:b/>
          <w:bCs/>
          <w:color w:val="000000"/>
          <w:sz w:val="24"/>
        </w:rPr>
        <w:t>Региональный проект «Укрепление общественного здоровья»</w:t>
      </w:r>
    </w:p>
    <w:p w:rsidR="00CB19F8" w:rsidRP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</w:rPr>
      </w:pPr>
    </w:p>
    <w:p w:rsidR="00CB19F8" w:rsidRPr="00CB19F8" w:rsidRDefault="00CB19F8" w:rsidP="00CB19F8">
      <w:pPr>
        <w:pStyle w:val="Standard"/>
        <w:rPr>
          <w:rFonts w:cs="Times New Roman"/>
          <w:b/>
          <w:bCs/>
          <w:color w:val="000000"/>
        </w:rPr>
      </w:pP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67"/>
        <w:gridCol w:w="1712"/>
        <w:gridCol w:w="1712"/>
        <w:gridCol w:w="1554"/>
      </w:tblGrid>
      <w:tr w:rsidR="00CB19F8" w:rsidTr="00CB19F8">
        <w:trPr>
          <w:trHeight w:val="1999"/>
        </w:trPr>
        <w:tc>
          <w:tcPr>
            <w:tcW w:w="46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Показатель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5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999"/>
        </w:trPr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Смертность мужчин трудоспособного возраста в Томской области на 100 тыс. населения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543,4</w:t>
            </w:r>
            <w:r>
              <w:br/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51 (2,6 случаев на 1 </w:t>
            </w:r>
            <w:proofErr w:type="spellStart"/>
            <w:r>
              <w:t>тыс</w:t>
            </w:r>
            <w:proofErr w:type="gramStart"/>
            <w:r>
              <w:t>.н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 (0,1)</w:t>
            </w:r>
          </w:p>
        </w:tc>
      </w:tr>
      <w:tr w:rsidR="00CB19F8" w:rsidTr="00CB19F8">
        <w:trPr>
          <w:trHeight w:val="1999"/>
        </w:trPr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Розничные продажи алкогольной продукции в Томской области на душу, в</w:t>
            </w:r>
            <w:r>
              <w:br/>
              <w:t>литрах этанола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4,6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19F8" w:rsidRDefault="00CB19F8">
            <w:pPr>
              <w:pStyle w:val="Standard"/>
            </w:pPr>
          </w:p>
        </w:tc>
      </w:tr>
      <w:tr w:rsidR="00CB19F8" w:rsidTr="00CB19F8">
        <w:trPr>
          <w:trHeight w:val="2004"/>
        </w:trPr>
        <w:tc>
          <w:tcPr>
            <w:tcW w:w="466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Смертность женщин в возрасте 16-54 лет в Томской области на</w:t>
            </w:r>
            <w:r>
              <w:br/>
              <w:t>100 тыс. населения</w:t>
            </w:r>
            <w:r>
              <w:br/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199,2</w:t>
            </w:r>
          </w:p>
        </w:tc>
        <w:tc>
          <w:tcPr>
            <w:tcW w:w="171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16 (0,8 случаев на 1 </w:t>
            </w:r>
            <w:proofErr w:type="spellStart"/>
            <w:r>
              <w:t>тыс</w:t>
            </w:r>
            <w:proofErr w:type="gramStart"/>
            <w:r>
              <w:t>.н</w:t>
            </w:r>
            <w:proofErr w:type="gramEnd"/>
            <w:r>
              <w:t>ас</w:t>
            </w:r>
            <w:proofErr w:type="spellEnd"/>
            <w:r>
              <w:t>)</w:t>
            </w:r>
          </w:p>
        </w:tc>
        <w:tc>
          <w:tcPr>
            <w:tcW w:w="155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20 (1,0)</w:t>
            </w:r>
          </w:p>
        </w:tc>
      </w:tr>
    </w:tbl>
    <w:p w:rsidR="00CB19F8" w:rsidRDefault="00CB19F8" w:rsidP="00CB19F8">
      <w:pPr>
        <w:pStyle w:val="Standard"/>
      </w:pPr>
    </w:p>
    <w:p w:rsidR="00CB19F8" w:rsidRDefault="00CB19F8" w:rsidP="00CB19F8">
      <w:pPr>
        <w:pStyle w:val="Standard"/>
        <w:spacing w:before="225" w:after="225"/>
        <w:rPr>
          <w:rFonts w:cs="Times New Roman"/>
          <w:b/>
          <w:bCs/>
          <w:color w:val="000000"/>
          <w:lang w:val="en-US"/>
        </w:rPr>
      </w:pPr>
      <w:proofErr w:type="spellStart"/>
      <w:r>
        <w:rPr>
          <w:rFonts w:cs="Times New Roman"/>
          <w:b/>
          <w:bCs/>
          <w:color w:val="000000"/>
          <w:lang w:val="en-US"/>
        </w:rPr>
        <w:t>Региональный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проект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«</w:t>
      </w:r>
      <w:proofErr w:type="spellStart"/>
      <w:r>
        <w:rPr>
          <w:rFonts w:cs="Times New Roman"/>
          <w:b/>
          <w:bCs/>
          <w:color w:val="000000"/>
          <w:lang w:val="en-US"/>
        </w:rPr>
        <w:t>Старшее</w:t>
      </w:r>
      <w:proofErr w:type="spellEnd"/>
      <w:r>
        <w:rPr>
          <w:rFonts w:cs="Times New Roman"/>
          <w:b/>
          <w:bCs/>
          <w:color w:val="000000"/>
          <w:lang w:val="en-US"/>
        </w:rPr>
        <w:t xml:space="preserve"> </w:t>
      </w:r>
      <w:proofErr w:type="spellStart"/>
      <w:r>
        <w:rPr>
          <w:rFonts w:cs="Times New Roman"/>
          <w:b/>
          <w:bCs/>
          <w:color w:val="000000"/>
          <w:lang w:val="en-US"/>
        </w:rPr>
        <w:t>поколение</w:t>
      </w:r>
      <w:proofErr w:type="spellEnd"/>
      <w:r>
        <w:rPr>
          <w:rFonts w:cs="Times New Roman"/>
          <w:b/>
          <w:bCs/>
          <w:color w:val="000000"/>
          <w:lang w:val="en-US"/>
        </w:rPr>
        <w:t>»</w:t>
      </w:r>
    </w:p>
    <w:tbl>
      <w:tblPr>
        <w:tblW w:w="9645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2"/>
        <w:gridCol w:w="1245"/>
        <w:gridCol w:w="1313"/>
        <w:gridCol w:w="1495"/>
      </w:tblGrid>
      <w:tr w:rsidR="00CB19F8" w:rsidTr="00CB19F8">
        <w:trPr>
          <w:trHeight w:val="1999"/>
        </w:trPr>
        <w:tc>
          <w:tcPr>
            <w:tcW w:w="55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Показатель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Целевое значение проекта</w:t>
            </w:r>
          </w:p>
        </w:tc>
        <w:tc>
          <w:tcPr>
            <w:tcW w:w="13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в 2019 году</w:t>
            </w:r>
          </w:p>
        </w:tc>
        <w:tc>
          <w:tcPr>
            <w:tcW w:w="1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Показатель  в </w:t>
            </w:r>
            <w:proofErr w:type="spellStart"/>
            <w:r>
              <w:t>Каргасокском</w:t>
            </w:r>
            <w:proofErr w:type="spellEnd"/>
            <w:r>
              <w:t xml:space="preserve"> районе за 5 месяцев 2020 года</w:t>
            </w:r>
          </w:p>
        </w:tc>
      </w:tr>
      <w:tr w:rsidR="00CB19F8" w:rsidTr="00CB19F8">
        <w:trPr>
          <w:trHeight w:val="1999"/>
        </w:trPr>
        <w:tc>
          <w:tcPr>
            <w:tcW w:w="5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Уровень госпитализации на геронтологические койки лиц старше 60 лет на 10 тыс. населения соответствующего возраста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51,3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1999"/>
        </w:trPr>
        <w:tc>
          <w:tcPr>
            <w:tcW w:w="5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Охват граждан в Томской области старше трудоспособного возраста профилактическими осмотрами, включая диспансеризацию, %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70,0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35,4% (1795)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3,8% (193)</w:t>
            </w:r>
          </w:p>
        </w:tc>
      </w:tr>
      <w:tr w:rsidR="00CB19F8" w:rsidTr="00CB19F8">
        <w:trPr>
          <w:trHeight w:val="1999"/>
        </w:trPr>
        <w:tc>
          <w:tcPr>
            <w:tcW w:w="5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Доля лиц в Томской области старше трудоспособного возраста, у которых выявлены заболевания и патологические состояния, находящихся под диспансерным</w:t>
            </w:r>
            <w:r>
              <w:br/>
              <w:t>наблюдением, %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90,0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57,7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40.2</w:t>
            </w:r>
          </w:p>
        </w:tc>
      </w:tr>
      <w:tr w:rsidR="00CB19F8" w:rsidTr="00CB19F8">
        <w:trPr>
          <w:trHeight w:val="1999"/>
        </w:trPr>
        <w:tc>
          <w:tcPr>
            <w:tcW w:w="5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lastRenderedPageBreak/>
              <w:t>Охват граждан в Томской области старше трудоспособного возраста из групп риска,</w:t>
            </w:r>
            <w:r>
              <w:br/>
              <w:t>проживающих в организациях социального обслуживания, вакцинацией против</w:t>
            </w:r>
            <w:r>
              <w:br/>
            </w:r>
            <w:proofErr w:type="spellStart"/>
            <w:r>
              <w:t>пневмоккоковой</w:t>
            </w:r>
            <w:proofErr w:type="spellEnd"/>
            <w:r>
              <w:t xml:space="preserve"> инфекции,%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95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  <w:tr w:rsidR="00CB19F8" w:rsidTr="00CB19F8">
        <w:trPr>
          <w:trHeight w:val="2001"/>
        </w:trPr>
        <w:tc>
          <w:tcPr>
            <w:tcW w:w="558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 xml:space="preserve">Численность граждан в Томской области </w:t>
            </w:r>
            <w:proofErr w:type="spellStart"/>
            <w:r>
              <w:t>предпенсионного</w:t>
            </w:r>
            <w:proofErr w:type="spellEnd"/>
            <w:r>
              <w:t xml:space="preserve"> возраста, прошедших</w:t>
            </w:r>
            <w:r>
              <w:br/>
              <w:t>профессиональное обучение и дополнительное профессиональное образование, человек (нарастающим итогом)</w:t>
            </w:r>
          </w:p>
        </w:tc>
        <w:tc>
          <w:tcPr>
            <w:tcW w:w="12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2148</w:t>
            </w:r>
          </w:p>
        </w:tc>
        <w:tc>
          <w:tcPr>
            <w:tcW w:w="131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  <w:tc>
          <w:tcPr>
            <w:tcW w:w="149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B19F8" w:rsidRDefault="00CB19F8">
            <w:pPr>
              <w:pStyle w:val="Standard"/>
            </w:pPr>
            <w:r>
              <w:t>-</w:t>
            </w:r>
          </w:p>
        </w:tc>
      </w:tr>
    </w:tbl>
    <w:p w:rsidR="00CB19F8" w:rsidRDefault="00CB19F8" w:rsidP="00CB19F8">
      <w:pPr>
        <w:pStyle w:val="Standard"/>
      </w:pPr>
    </w:p>
    <w:p w:rsidR="00CB19F8" w:rsidRDefault="00CB19F8" w:rsidP="00CB19F8">
      <w:pPr>
        <w:pStyle w:val="midnightblueLTTitel"/>
        <w:spacing w:before="225" w:after="225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/>
          <w:b/>
          <w:bCs/>
          <w:color w:val="000000"/>
          <w:sz w:val="24"/>
        </w:rPr>
      </w:pPr>
      <w:r>
        <w:rPr>
          <w:rFonts w:ascii="Liberation Serif" w:hAnsi="Liberation Serif"/>
          <w:b/>
          <w:bCs/>
          <w:color w:val="000000"/>
          <w:sz w:val="24"/>
        </w:rPr>
        <w:t xml:space="preserve">  </w:t>
      </w:r>
    </w:p>
    <w:p w:rsidR="00CB19F8" w:rsidRDefault="00CB19F8" w:rsidP="00CB19F8">
      <w:pPr>
        <w:pStyle w:val="Standard"/>
        <w:rPr>
          <w:rFonts w:cs="Times New Roman"/>
          <w:b/>
          <w:bCs/>
          <w:color w:val="000000"/>
          <w:sz w:val="52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bCs/>
          <w:color w:val="000000"/>
          <w:sz w:val="24"/>
          <w:lang w:val="en-US"/>
        </w:rPr>
      </w:pPr>
    </w:p>
    <w:p w:rsidR="00CB19F8" w:rsidRDefault="00CB19F8" w:rsidP="00CB19F8">
      <w:pPr>
        <w:pStyle w:val="midnightblueLTTitel"/>
        <w:rPr>
          <w:rFonts w:ascii="Liberation Serif" w:hAnsi="Liberation Serif" w:cs="Times New Roman"/>
          <w:b/>
          <w:sz w:val="24"/>
        </w:rPr>
      </w:pPr>
    </w:p>
    <w:p w:rsidR="00CB19F8" w:rsidRDefault="00CB19F8" w:rsidP="002521EF"/>
    <w:p w:rsidR="00CB19F8" w:rsidRDefault="00CB19F8" w:rsidP="002521EF"/>
    <w:p w:rsidR="00CB19F8" w:rsidRDefault="00CB19F8" w:rsidP="002521EF"/>
    <w:p w:rsidR="00CB19F8" w:rsidRDefault="00CB19F8" w:rsidP="002521EF"/>
    <w:p w:rsidR="00CB19F8" w:rsidRDefault="00CB19F8" w:rsidP="002521EF"/>
    <w:p w:rsidR="00CB19F8" w:rsidRPr="003D0E7C" w:rsidRDefault="00CB19F8" w:rsidP="002521EF"/>
    <w:sectPr w:rsidR="00CB19F8" w:rsidRPr="003D0E7C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E91" w:rsidRDefault="002B5E91" w:rsidP="00D52ED4">
      <w:r>
        <w:separator/>
      </w:r>
    </w:p>
  </w:endnote>
  <w:endnote w:type="continuationSeparator" w:id="0">
    <w:p w:rsidR="002B5E91" w:rsidRDefault="002B5E91" w:rsidP="00D52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auto"/>
    <w:pitch w:val="variable"/>
  </w:font>
  <w:font w:name="Noto Sans CJK SC Regular"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DejaVu Sans">
    <w:charset w:val="00"/>
    <w:family w:val="auto"/>
    <w:pitch w:val="variable"/>
  </w:font>
  <w:font w:name="Liberation Sans"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E91" w:rsidRDefault="002B5E91" w:rsidP="00D52ED4">
      <w:r>
        <w:separator/>
      </w:r>
    </w:p>
  </w:footnote>
  <w:footnote w:type="continuationSeparator" w:id="0">
    <w:p w:rsidR="002B5E91" w:rsidRDefault="002B5E91" w:rsidP="00D52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521EF"/>
    <w:rsid w:val="00147BB3"/>
    <w:rsid w:val="00153198"/>
    <w:rsid w:val="00195BF6"/>
    <w:rsid w:val="00241F08"/>
    <w:rsid w:val="002477F7"/>
    <w:rsid w:val="002521EF"/>
    <w:rsid w:val="00264A1A"/>
    <w:rsid w:val="0026654A"/>
    <w:rsid w:val="002B5E91"/>
    <w:rsid w:val="003062D6"/>
    <w:rsid w:val="00390CDA"/>
    <w:rsid w:val="003A1FF7"/>
    <w:rsid w:val="003D0E7C"/>
    <w:rsid w:val="003D7D00"/>
    <w:rsid w:val="004060FF"/>
    <w:rsid w:val="004530D9"/>
    <w:rsid w:val="00455D5E"/>
    <w:rsid w:val="00456158"/>
    <w:rsid w:val="004A67D8"/>
    <w:rsid w:val="004E6117"/>
    <w:rsid w:val="005A1C74"/>
    <w:rsid w:val="005A7DC1"/>
    <w:rsid w:val="00617B02"/>
    <w:rsid w:val="0063671A"/>
    <w:rsid w:val="00636C6D"/>
    <w:rsid w:val="00686465"/>
    <w:rsid w:val="006945D9"/>
    <w:rsid w:val="006F423A"/>
    <w:rsid w:val="0077249D"/>
    <w:rsid w:val="00777B6F"/>
    <w:rsid w:val="00785235"/>
    <w:rsid w:val="007B3D2A"/>
    <w:rsid w:val="00931B66"/>
    <w:rsid w:val="00933785"/>
    <w:rsid w:val="0099124C"/>
    <w:rsid w:val="00997427"/>
    <w:rsid w:val="009A5867"/>
    <w:rsid w:val="009C5467"/>
    <w:rsid w:val="00A11E52"/>
    <w:rsid w:val="00A2094B"/>
    <w:rsid w:val="00A278B8"/>
    <w:rsid w:val="00A70DDF"/>
    <w:rsid w:val="00A92765"/>
    <w:rsid w:val="00B50D71"/>
    <w:rsid w:val="00B72BF0"/>
    <w:rsid w:val="00B77007"/>
    <w:rsid w:val="00B823F8"/>
    <w:rsid w:val="00BE32C8"/>
    <w:rsid w:val="00C27B2B"/>
    <w:rsid w:val="00C72375"/>
    <w:rsid w:val="00CB19F8"/>
    <w:rsid w:val="00CD3EA2"/>
    <w:rsid w:val="00D52ED4"/>
    <w:rsid w:val="00DA19CB"/>
    <w:rsid w:val="00DE611B"/>
    <w:rsid w:val="00DF0810"/>
    <w:rsid w:val="00E00260"/>
    <w:rsid w:val="00EB7BA5"/>
    <w:rsid w:val="00F13866"/>
    <w:rsid w:val="00F20FDE"/>
    <w:rsid w:val="00F66A2B"/>
    <w:rsid w:val="00FB4790"/>
    <w:rsid w:val="00FF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D52E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52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CB19F8"/>
    <w:pPr>
      <w:suppressAutoHyphens/>
      <w:autoSpaceDN w:val="0"/>
      <w:spacing w:after="0" w:line="240" w:lineRule="auto"/>
    </w:pPr>
    <w:rPr>
      <w:rFonts w:ascii="Liberation Serif" w:eastAsia="Noto Sans CJK SC Regular" w:hAnsi="Liberation Serif" w:cs="FreeSans"/>
      <w:kern w:val="3"/>
      <w:sz w:val="24"/>
      <w:szCs w:val="24"/>
      <w:lang w:eastAsia="zh-CN" w:bidi="hi-IN"/>
    </w:rPr>
  </w:style>
  <w:style w:type="paragraph" w:customStyle="1" w:styleId="midnightblueLTGliederung1">
    <w:name w:val="midnightblue~LT~Gliederung 1"/>
    <w:rsid w:val="00CB19F8"/>
    <w:pPr>
      <w:suppressAutoHyphens/>
      <w:autoSpaceDN w:val="0"/>
      <w:spacing w:after="283" w:line="240" w:lineRule="auto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  <w:style w:type="paragraph" w:customStyle="1" w:styleId="midnightblueLTTitel">
    <w:name w:val="midnightblue~LT~Titel"/>
    <w:rsid w:val="00CB19F8"/>
    <w:pPr>
      <w:suppressAutoHyphens/>
      <w:autoSpaceDN w:val="0"/>
      <w:spacing w:after="0" w:line="240" w:lineRule="auto"/>
    </w:pPr>
    <w:rPr>
      <w:rFonts w:ascii="FreeSans" w:eastAsia="DejaVu Sans" w:hAnsi="FreeSans" w:cs="Liberation Sans"/>
      <w:color w:val="FFFFFF"/>
      <w:kern w:val="3"/>
      <w:sz w:val="88"/>
      <w:szCs w:val="24"/>
      <w:lang w:eastAsia="zh-CN" w:bidi="hi-IN"/>
    </w:rPr>
  </w:style>
  <w:style w:type="paragraph" w:customStyle="1" w:styleId="midnightblueLTUntertitel">
    <w:name w:val="midnightblue~LT~Untertitel"/>
    <w:rsid w:val="00CB19F8"/>
    <w:pPr>
      <w:suppressAutoHyphens/>
      <w:autoSpaceDN w:val="0"/>
      <w:spacing w:after="0" w:line="240" w:lineRule="auto"/>
      <w:jc w:val="center"/>
    </w:pPr>
    <w:rPr>
      <w:rFonts w:ascii="FreeSans" w:eastAsia="DejaVu Sans" w:hAnsi="FreeSans" w:cs="Liberation Sans"/>
      <w:color w:val="2C3E50"/>
      <w:kern w:val="3"/>
      <w:sz w:val="6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1986</Words>
  <Characters>11321</Characters>
  <Application>Microsoft Office Word</Application>
  <DocSecurity>0</DocSecurity>
  <Lines>94</Lines>
  <Paragraphs>26</Paragraphs>
  <ScaleCrop>false</ScaleCrop>
  <Company/>
  <LinksUpToDate>false</LinksUpToDate>
  <CharactersWithSpaces>13281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13</cp:revision>
  <cp:lastPrinted>2019-04-24T09:20:00Z</cp:lastPrinted>
  <dcterms:created xsi:type="dcterms:W3CDTF">2020-04-06T06:33:00Z</dcterms:created>
  <dcterms:modified xsi:type="dcterms:W3CDTF">2020-06-23T10:02:00Z</dcterms:modified>
</cp:coreProperties>
</file>