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6F" w:rsidRDefault="0010646F" w:rsidP="0010646F">
      <w:pPr>
        <w:tabs>
          <w:tab w:val="left" w:pos="5404"/>
          <w:tab w:val="left" w:pos="5812"/>
        </w:tabs>
        <w:contextualSpacing/>
        <w:jc w:val="right"/>
      </w:pPr>
      <w:r>
        <w:t>Приложение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5224"/>
        <w:gridCol w:w="3827"/>
        <w:gridCol w:w="4962"/>
      </w:tblGrid>
      <w:tr w:rsidR="0010646F" w:rsidTr="00D406B7">
        <w:tc>
          <w:tcPr>
            <w:tcW w:w="696" w:type="dxa"/>
          </w:tcPr>
          <w:p w:rsidR="0010646F" w:rsidRPr="00EF72D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center"/>
              <w:rPr>
                <w:b/>
              </w:rPr>
            </w:pPr>
            <w:r w:rsidRPr="00EF72DF">
              <w:rPr>
                <w:b/>
              </w:rPr>
              <w:t>№</w:t>
            </w:r>
          </w:p>
        </w:tc>
        <w:tc>
          <w:tcPr>
            <w:tcW w:w="5224" w:type="dxa"/>
          </w:tcPr>
          <w:p w:rsidR="0010646F" w:rsidRPr="00EF72D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center"/>
              <w:rPr>
                <w:b/>
              </w:rPr>
            </w:pPr>
            <w:r w:rsidRPr="00EF72DF">
              <w:rPr>
                <w:b/>
              </w:rPr>
              <w:t>Наименование мероприятия</w:t>
            </w:r>
          </w:p>
        </w:tc>
        <w:tc>
          <w:tcPr>
            <w:tcW w:w="3827" w:type="dxa"/>
          </w:tcPr>
          <w:p w:rsidR="0010646F" w:rsidRPr="00EF72D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center"/>
              <w:rPr>
                <w:b/>
              </w:rPr>
            </w:pPr>
            <w:r w:rsidRPr="00EF72DF">
              <w:rPr>
                <w:b/>
              </w:rPr>
              <w:t>Индикаторы (количественные или качественные)  для контроля исполнения мероприятия</w:t>
            </w:r>
          </w:p>
        </w:tc>
        <w:tc>
          <w:tcPr>
            <w:tcW w:w="4962" w:type="dxa"/>
          </w:tcPr>
          <w:p w:rsidR="0010646F" w:rsidRPr="00EF72D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center"/>
              <w:rPr>
                <w:b/>
              </w:rPr>
            </w:pPr>
            <w:r w:rsidRPr="00EF72DF">
              <w:rPr>
                <w:b/>
              </w:rPr>
              <w:t>Информация о реализации мероприятия</w:t>
            </w:r>
          </w:p>
        </w:tc>
      </w:tr>
      <w:tr w:rsidR="0010646F" w:rsidTr="00D406B7">
        <w:tc>
          <w:tcPr>
            <w:tcW w:w="696" w:type="dxa"/>
          </w:tcPr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center"/>
            </w:pPr>
            <w:r w:rsidRPr="004E0BAE">
              <w:t>1</w:t>
            </w:r>
          </w:p>
        </w:tc>
        <w:tc>
          <w:tcPr>
            <w:tcW w:w="5224" w:type="dxa"/>
          </w:tcPr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proofErr w:type="gramStart"/>
            <w:r w:rsidRPr="004E0BAE">
              <w:t>Мониторинг обращений граждан в исполнительные органы государственной власти Томской области и органы местного самоуправления муниципальных образований и городских округов Томской области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 и при формировании кадрового резерва на региональном и муниципальном</w:t>
            </w:r>
            <w:proofErr w:type="gramEnd"/>
            <w:r w:rsidRPr="004E0BAE">
              <w:t xml:space="preserve"> </w:t>
            </w:r>
            <w:proofErr w:type="gramStart"/>
            <w:r w:rsidRPr="004E0BAE">
              <w:t>уровнях</w:t>
            </w:r>
            <w:proofErr w:type="gramEnd"/>
          </w:p>
        </w:tc>
        <w:tc>
          <w:tcPr>
            <w:tcW w:w="3827" w:type="dxa"/>
          </w:tcPr>
          <w:p w:rsidR="0010646F" w:rsidRPr="007A5981" w:rsidRDefault="0010646F" w:rsidP="00D406B7">
            <w:pPr>
              <w:pStyle w:val="ConsPlusNormal"/>
              <w:tabs>
                <w:tab w:val="left" w:pos="5404"/>
                <w:tab w:val="left" w:pos="58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981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в органы местного самоуправления муниципального (ед.);</w:t>
            </w:r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</w:p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4E0BAE">
              <w:t>наличие (отсутствие) фактов нарушения принципа равенства граждан</w:t>
            </w:r>
          </w:p>
        </w:tc>
        <w:tc>
          <w:tcPr>
            <w:tcW w:w="4962" w:type="dxa"/>
          </w:tcPr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center"/>
            </w:pPr>
            <w:r w:rsidRPr="004E0BAE">
              <w:t>0</w:t>
            </w:r>
          </w:p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center"/>
            </w:pPr>
          </w:p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center"/>
            </w:pPr>
          </w:p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center"/>
            </w:pPr>
          </w:p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center"/>
            </w:pPr>
          </w:p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center"/>
            </w:pPr>
            <w:r w:rsidRPr="004E0BAE">
              <w:t xml:space="preserve">Отсутствуют </w:t>
            </w:r>
          </w:p>
        </w:tc>
      </w:tr>
      <w:tr w:rsidR="0010646F" w:rsidTr="00D406B7">
        <w:tc>
          <w:tcPr>
            <w:tcW w:w="696" w:type="dxa"/>
          </w:tcPr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2</w:t>
            </w:r>
          </w:p>
        </w:tc>
        <w:tc>
          <w:tcPr>
            <w:tcW w:w="5224" w:type="dxa"/>
          </w:tcPr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proofErr w:type="gramStart"/>
            <w:r>
              <w:t>Содействие проведению мероприятий,  приуроченным к праздничным и памятным датам, в истории народов России, в том числе:</w:t>
            </w:r>
            <w:proofErr w:type="gramEnd"/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- Международному Дню родного языка (21 февраля);</w:t>
            </w:r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-Дню воссоединения Крыма с Россией (18 марта);</w:t>
            </w:r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- Дню славянской письменности и культуры (24  мая);</w:t>
            </w:r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- Дню России (12 июня);</w:t>
            </w:r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-Дню памяти и скорби (22 июня);</w:t>
            </w:r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-Международному Дню коренных народов мира (9 августа);</w:t>
            </w:r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-Дню Государственного флага Российской Федерации (22 августа);</w:t>
            </w:r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lastRenderedPageBreak/>
              <w:t>-Дню национального единства (4 ноября);</w:t>
            </w:r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-Дню конституции (12 декабря).</w:t>
            </w:r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</w:p>
        </w:tc>
        <w:tc>
          <w:tcPr>
            <w:tcW w:w="3827" w:type="dxa"/>
          </w:tcPr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lastRenderedPageBreak/>
              <w:t>Количество мероприятий (ед.),</w:t>
            </w:r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Количество участников мероприятий (чел.)</w:t>
            </w:r>
          </w:p>
        </w:tc>
        <w:tc>
          <w:tcPr>
            <w:tcW w:w="4962" w:type="dxa"/>
          </w:tcPr>
          <w:p w:rsidR="0010646F" w:rsidRPr="007A5981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7A5981">
              <w:t>Проведено мероприятий, посвященных</w:t>
            </w:r>
          </w:p>
          <w:p w:rsidR="0010646F" w:rsidRPr="007A5981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7A5981">
              <w:t>- Международному Дню родного языка (21 февраля)-  4, посетило  76 чел.</w:t>
            </w:r>
          </w:p>
          <w:p w:rsidR="0010646F" w:rsidRPr="007A5981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7A5981">
              <w:t>-Дню воссоединения Крыма с Россией (18 марта)- 1, посетило  40 чел.</w:t>
            </w:r>
          </w:p>
          <w:p w:rsidR="0010646F" w:rsidRPr="007A5981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7A5981">
              <w:t>- Дню славянской письменности и культуры (24  мая)- 57, посетило  825 чел.</w:t>
            </w:r>
          </w:p>
          <w:p w:rsidR="0010646F" w:rsidRPr="007A5981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7A5981">
              <w:t>- Дню России (12 июня)- 38, посетило  5325 чел.</w:t>
            </w:r>
          </w:p>
          <w:p w:rsidR="0010646F" w:rsidRPr="007A5981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7A5981">
              <w:t>-Дню памяти и скорби (22 июня)- 18, посетило  420 чел.</w:t>
            </w:r>
          </w:p>
          <w:p w:rsidR="0010646F" w:rsidRPr="007A5981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7A5981">
              <w:t>-Международному Дню коренных народов мира (9 августа)- 2, посетило  48 чел.</w:t>
            </w:r>
          </w:p>
          <w:p w:rsidR="0010646F" w:rsidRPr="007A5981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7A5981">
              <w:t>-Дню Государственного флага Российской Федерации (22 августа)- 10, посетило  240 чел.</w:t>
            </w:r>
          </w:p>
          <w:p w:rsidR="0010646F" w:rsidRPr="007A5981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7A5981">
              <w:lastRenderedPageBreak/>
              <w:t>-Дню национального единства (4 ноября)- 35, посетило  900 чел.</w:t>
            </w:r>
          </w:p>
          <w:p w:rsidR="0010646F" w:rsidRPr="007A5981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7A5981">
              <w:t>-Дню конституции (12 декабря)- 12, посетило  245 чел.</w:t>
            </w:r>
          </w:p>
          <w:p w:rsidR="0010646F" w:rsidRPr="007A5981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7A5981">
              <w:t>ИТОГО: 177 мероприятий,  посетило 8 119 человек</w:t>
            </w:r>
          </w:p>
        </w:tc>
      </w:tr>
      <w:tr w:rsidR="0010646F" w:rsidTr="00D406B7">
        <w:tc>
          <w:tcPr>
            <w:tcW w:w="696" w:type="dxa"/>
          </w:tcPr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lastRenderedPageBreak/>
              <w:t>3</w:t>
            </w:r>
          </w:p>
        </w:tc>
        <w:tc>
          <w:tcPr>
            <w:tcW w:w="5224" w:type="dxa"/>
          </w:tcPr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Реализация комплекса мер по поддержке и развитию этнографического туризма</w:t>
            </w:r>
          </w:p>
        </w:tc>
        <w:tc>
          <w:tcPr>
            <w:tcW w:w="3827" w:type="dxa"/>
          </w:tcPr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Количество разработанных туристских маршрутов (ед.),</w:t>
            </w:r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Количество туристов (чел.)</w:t>
            </w:r>
          </w:p>
        </w:tc>
        <w:tc>
          <w:tcPr>
            <w:tcW w:w="4962" w:type="dxa"/>
          </w:tcPr>
          <w:p w:rsidR="0010646F" w:rsidRPr="007A5981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7A5981">
              <w:t>В рамках проведения межрайонного фестиваля малых городов и сел «Медвежий угол»  разработан и реализован 1 туристический маршрут «Тайны старого кедра»,  количество туристов – 165 человек.</w:t>
            </w:r>
          </w:p>
        </w:tc>
      </w:tr>
      <w:tr w:rsidR="0010646F" w:rsidTr="00D406B7">
        <w:tc>
          <w:tcPr>
            <w:tcW w:w="696" w:type="dxa"/>
          </w:tcPr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4</w:t>
            </w:r>
          </w:p>
        </w:tc>
        <w:tc>
          <w:tcPr>
            <w:tcW w:w="5224" w:type="dxa"/>
          </w:tcPr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Проведение национальных праздников, фестивалей, конкурсов, этнофорумов</w:t>
            </w:r>
          </w:p>
        </w:tc>
        <w:tc>
          <w:tcPr>
            <w:tcW w:w="3827" w:type="dxa"/>
          </w:tcPr>
          <w:p w:rsidR="0010646F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Количество мероприятий (ед.)</w:t>
            </w:r>
          </w:p>
        </w:tc>
        <w:tc>
          <w:tcPr>
            <w:tcW w:w="4962" w:type="dxa"/>
          </w:tcPr>
          <w:p w:rsidR="0010646F" w:rsidRDefault="0010646F" w:rsidP="00D406B7">
            <w:pPr>
              <w:tabs>
                <w:tab w:val="left" w:pos="5404"/>
                <w:tab w:val="left" w:pos="5812"/>
              </w:tabs>
              <w:jc w:val="both"/>
            </w:pPr>
            <w:r>
              <w:t>1.</w:t>
            </w:r>
            <w:r w:rsidRPr="000E5FAA">
              <w:t>Проведен межрайонный фестиваль малых городов и сел «Медвежий угол»;</w:t>
            </w:r>
          </w:p>
          <w:p w:rsidR="0010646F" w:rsidRDefault="0010646F" w:rsidP="00D406B7">
            <w:pPr>
              <w:tabs>
                <w:tab w:val="left" w:pos="5404"/>
                <w:tab w:val="left" w:pos="5812"/>
              </w:tabs>
              <w:jc w:val="both"/>
            </w:pPr>
            <w:r>
              <w:t>2. В рамках работы клуба национальных культур «Диалог» проведен национальный хантыйский праздник «Вороний день»;</w:t>
            </w:r>
          </w:p>
          <w:p w:rsidR="0010646F" w:rsidRPr="000E5FAA" w:rsidRDefault="0010646F" w:rsidP="00D406B7">
            <w:pPr>
              <w:tabs>
                <w:tab w:val="left" w:pos="5404"/>
                <w:tab w:val="left" w:pos="5812"/>
              </w:tabs>
              <w:jc w:val="both"/>
            </w:pPr>
            <w:r>
              <w:t>3. В Напасском СДК работает музейная комната, где собраны предметы  быта и декоративно-прикладного творчества  коренных народов Севера.</w:t>
            </w:r>
          </w:p>
          <w:p w:rsidR="0010646F" w:rsidRPr="007A5981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7A5981">
              <w:t>ИТОГО: 3 мероприятия</w:t>
            </w:r>
          </w:p>
        </w:tc>
      </w:tr>
      <w:tr w:rsidR="0010646F" w:rsidRPr="004E0BAE" w:rsidTr="00D406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5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2362F5">
              <w:t>Содействие в проведении Всероссийской просветительской акции "Большой этнографический диктант"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4E0BAE">
              <w:t>Количество площадок (ед.);</w:t>
            </w:r>
          </w:p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4E0BAE">
              <w:t>количество участников (чел.)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jc w:val="both"/>
            </w:pPr>
            <w:r w:rsidRPr="004E0BAE">
              <w:t>1 площадка на базе МБОУ «Каргасокская СОШ-интернат №1», участников 40 человек</w:t>
            </w:r>
          </w:p>
        </w:tc>
      </w:tr>
      <w:tr w:rsidR="0010646F" w:rsidRPr="004E0BAE" w:rsidTr="00D406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6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6F" w:rsidRPr="00994711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4E0BAE">
              <w:t>Реализация комплекса мероприятий, посвященных Дню русского языка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4E0BAE">
              <w:t>Количество проведенных мероприятий, посвященных Дню русского языка (ед.)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jc w:val="center"/>
            </w:pPr>
            <w:r w:rsidRPr="004E0BAE">
              <w:t>7</w:t>
            </w:r>
          </w:p>
        </w:tc>
      </w:tr>
      <w:tr w:rsidR="0010646F" w:rsidRPr="004E0BAE" w:rsidTr="00D406B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7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6F" w:rsidRPr="00C5577C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>
              <w:t>Ф</w:t>
            </w:r>
            <w:r w:rsidRPr="004E0BAE">
              <w:t xml:space="preserve">ункционирование центров этнокультурного </w:t>
            </w:r>
            <w:r w:rsidRPr="004E0BAE">
              <w:lastRenderedPageBreak/>
              <w:t>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4E0BAE">
              <w:lastRenderedPageBreak/>
              <w:t xml:space="preserve">Количество центров этнокультурного </w:t>
            </w:r>
            <w:r w:rsidRPr="004E0BAE">
              <w:lastRenderedPageBreak/>
              <w:t>образования (ед.);</w:t>
            </w:r>
          </w:p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contextualSpacing/>
              <w:jc w:val="both"/>
            </w:pPr>
            <w:r w:rsidRPr="004E0BAE">
              <w:t>Количество участников мероприятий (чел.)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jc w:val="both"/>
            </w:pPr>
            <w:r w:rsidRPr="004E0BAE">
              <w:lastRenderedPageBreak/>
              <w:t xml:space="preserve">3 ЦЭКО (МБОУ ДО «Каргасокский ДДТ», МБДОУ </w:t>
            </w:r>
            <w:r w:rsidRPr="004E0BAE">
              <w:lastRenderedPageBreak/>
              <w:t>«Новоюгинский д/с №20», МКОУ «Напасская ООШ»)</w:t>
            </w:r>
          </w:p>
          <w:p w:rsidR="0010646F" w:rsidRPr="004E0BAE" w:rsidRDefault="0010646F" w:rsidP="00D406B7">
            <w:pPr>
              <w:tabs>
                <w:tab w:val="left" w:pos="5404"/>
                <w:tab w:val="left" w:pos="5812"/>
              </w:tabs>
              <w:jc w:val="both"/>
            </w:pPr>
            <w:r w:rsidRPr="004E0BAE">
              <w:t>Проведено 23 мероприятия, в которых приняло участие 618 человек</w:t>
            </w:r>
          </w:p>
        </w:tc>
      </w:tr>
    </w:tbl>
    <w:p w:rsidR="00F4517D" w:rsidRDefault="00F4517D"/>
    <w:sectPr w:rsidR="00F4517D" w:rsidSect="001064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646F"/>
    <w:rsid w:val="0010646F"/>
    <w:rsid w:val="00F4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kozhuhar</dc:creator>
  <cp:keywords/>
  <dc:description/>
  <cp:lastModifiedBy>kozhuhar</cp:lastModifiedBy>
  <cp:revision>2</cp:revision>
  <dcterms:created xsi:type="dcterms:W3CDTF">2020-05-29T03:48:00Z</dcterms:created>
  <dcterms:modified xsi:type="dcterms:W3CDTF">2020-05-29T03:49:00Z</dcterms:modified>
</cp:coreProperties>
</file>