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СВОДНЫЙ ОТЧЕТ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проекта  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муниципального нормативного правового акта</w:t>
      </w: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tbl>
      <w:tblPr>
        <w:tblW w:w="949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6"/>
        <w:gridCol w:w="2891"/>
        <w:gridCol w:w="964"/>
        <w:gridCol w:w="1701"/>
        <w:gridCol w:w="1549"/>
        <w:gridCol w:w="1941"/>
        <w:gridCol w:w="196"/>
      </w:tblGrid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BC14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 Реквизиты проекта муниципального нормативного правового акта:</w:t>
            </w:r>
          </w:p>
          <w:p w:rsidR="00E95F70" w:rsidRPr="001A7321" w:rsidRDefault="00E95F70" w:rsidP="007E6ABA">
            <w:pPr>
              <w:pStyle w:val="ConsPlusTitle"/>
              <w:widowControl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511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(вид, сфера муниципального регулирования проекта нормативного правового акта или его отдельных положений, наименование):</w:t>
            </w:r>
            <w:r w:rsidR="00BC14E1" w:rsidRPr="00051131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BC14E1" w:rsidRPr="00051131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проект постановления Адми</w:t>
            </w:r>
            <w:r w:rsidR="00A838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нистрации </w:t>
            </w:r>
            <w:proofErr w:type="spellStart"/>
            <w:r w:rsidR="00A838CA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Каргасокского</w:t>
            </w:r>
            <w:proofErr w:type="spellEnd"/>
            <w:r w:rsidR="00A838C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</w:t>
            </w:r>
            <w:r w:rsidR="00051131" w:rsidRPr="00051131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в постановление Администрации Каргасокского района от 06.06.2017 № 151</w:t>
            </w:r>
            <w:r w:rsidR="00D846BB" w:rsidRPr="00D846B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D846BB" w:rsidRPr="00D846BB">
              <w:rPr>
                <w:rFonts w:ascii="Times New Roman" w:hAnsi="Times New Roman"/>
                <w:b w:val="0"/>
                <w:sz w:val="24"/>
                <w:szCs w:val="24"/>
              </w:rPr>
              <w:t>«Об утверждения Порядка предоставления субсидий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речные перевозки граждан между поселениями муниципального образования «Каргасокский район», признании утратившими силу отдельных</w:t>
            </w:r>
            <w:proofErr w:type="gramEnd"/>
            <w:r w:rsidR="00D846BB" w:rsidRPr="00D846BB">
              <w:rPr>
                <w:rFonts w:ascii="Times New Roman" w:hAnsi="Times New Roman"/>
                <w:b w:val="0"/>
                <w:sz w:val="24"/>
                <w:szCs w:val="24"/>
              </w:rPr>
              <w:t xml:space="preserve"> постановлений Администрации </w:t>
            </w:r>
            <w:proofErr w:type="spellStart"/>
            <w:r w:rsidR="00D846BB" w:rsidRPr="00D846BB">
              <w:rPr>
                <w:rFonts w:ascii="Times New Roman" w:hAnsi="Times New Roman"/>
                <w:b w:val="0"/>
                <w:sz w:val="24"/>
                <w:szCs w:val="24"/>
              </w:rPr>
              <w:t>Каргасокского</w:t>
            </w:r>
            <w:proofErr w:type="spellEnd"/>
            <w:r w:rsidR="00D846BB" w:rsidRPr="00D846B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района</w:t>
            </w:r>
            <w:proofErr w:type="gramStart"/>
            <w:r w:rsidR="00051131" w:rsidRPr="00D846BB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E6ABA" w:rsidRPr="00D846BB">
              <w:rPr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  <w:proofErr w:type="gramEnd"/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 Сведения о разработчике проекта нормативного правового акта: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Разработчик проекта НПА: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u w:val="single"/>
                <w:lang w:eastAsia="en-US"/>
              </w:rPr>
              <w:t>Управление финансов АКР.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Ф.И.О. исполнителя проек</w:t>
            </w:r>
            <w:r w:rsidR="007E6A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та нормативного правового акта: </w:t>
            </w:r>
            <w:proofErr w:type="spellStart"/>
            <w:r w:rsidR="00D846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Штель</w:t>
            </w:r>
            <w:proofErr w:type="spellEnd"/>
            <w:r w:rsidR="00D846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Елена Валентиновна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Должность: 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веду</w:t>
            </w:r>
            <w:r w:rsidR="007E6A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щий специалист</w:t>
            </w:r>
            <w:r w:rsidR="0084751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</w:t>
            </w:r>
            <w:r w:rsidR="007E6A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доходам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Управления финансов АКР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1A7321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Тел: 8382532</w:t>
            </w:r>
            <w:r w:rsid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</w:t>
            </w:r>
            <w:r w:rsidR="0005113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980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Адрес электронной почты: 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kargasok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@</w:t>
            </w:r>
            <w:proofErr w:type="spellStart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findep</w:t>
            </w:r>
            <w:proofErr w:type="spellEnd"/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E7788A" w:rsidRPr="00E7788A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org</w:t>
            </w:r>
            <w:r w:rsidR="000C3BF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Фактический адрес: Томская область, Каргасокский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 w:rsidR="00665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н, с. Каргасок, ул. Пушкина, д.31.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3. Степень регулирующего воздействия проекта нормативного правового акта: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3.1. Степень регулирующего воздействия проекта нормативного правового акта (высокая/средняя/низкая): </w:t>
            </w:r>
            <w:r w:rsidR="007E6A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низкая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3.2. Обоснование отнесения проекта нормативного правового акта к определенной степени регулирующего воздействия: </w:t>
            </w:r>
          </w:p>
          <w:p w:rsidR="00EA5D3C" w:rsidRPr="001A7321" w:rsidRDefault="00EA5D3C" w:rsidP="00E778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проект акта </w:t>
            </w:r>
            <w:r w:rsidR="007E6ABA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содержит положения, устанавливающие ранее не предусмотренные </w:t>
            </w:r>
            <w:r w:rsidR="007E6ABA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ограничения, не изменяет существующие обязанности, запреты и ограничения </w:t>
            </w:r>
            <w:r w:rsidR="00696EE5">
              <w:rPr>
                <w:rFonts w:ascii="Times New Roman" w:hAnsi="Times New Roman" w:cs="Times New Roman"/>
                <w:sz w:val="24"/>
                <w:szCs w:val="24"/>
              </w:rPr>
              <w:t xml:space="preserve"> для субъектов предпринимательской</w:t>
            </w:r>
            <w:r w:rsidR="00F66396">
              <w:rPr>
                <w:rFonts w:ascii="Times New Roman" w:hAnsi="Times New Roman" w:cs="Times New Roman"/>
                <w:sz w:val="24"/>
                <w:szCs w:val="24"/>
              </w:rPr>
              <w:t xml:space="preserve"> или инвестиционной деятельности</w:t>
            </w:r>
            <w:r w:rsidR="00E36F6F">
              <w:rPr>
                <w:rFonts w:ascii="Times New Roman" w:hAnsi="Times New Roman" w:cs="Times New Roman"/>
                <w:sz w:val="24"/>
                <w:szCs w:val="24"/>
              </w:rPr>
              <w:t>, а уточняет срок существующей обязанности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4. Описание проблемы, на решение которой направлено муниципальное регулирование, оценка негативных эффектов, возникающих в связи с наличием рассматриваемой проблемы:</w:t>
            </w:r>
          </w:p>
        </w:tc>
      </w:tr>
      <w:tr w:rsidR="00E95F70" w:rsidRPr="00E95F70" w:rsidTr="00677520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5387" w:rsidRPr="00D846BB" w:rsidRDefault="00E95F70" w:rsidP="00D846BB">
            <w:pPr>
              <w:pStyle w:val="ConsPlusTitle"/>
              <w:widowControl/>
              <w:spacing w:before="240"/>
              <w:jc w:val="both"/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</w:pPr>
            <w:r w:rsidRPr="00D846B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>4.1. Описание проблемы, на решение которой направлен предлагаемый способ регулирования (информация, подтверждающая существование проблемы):</w:t>
            </w:r>
            <w:r w:rsidR="00D846BB">
              <w:rPr>
                <w:rFonts w:ascii="Times New Roman" w:eastAsiaTheme="minorHAnsi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="00D846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в </w:t>
            </w:r>
            <w:r w:rsidR="00D846BB" w:rsidRPr="00D846BB">
              <w:rPr>
                <w:rFonts w:ascii="Times New Roman" w:hAnsi="Times New Roman"/>
                <w:b w:val="0"/>
                <w:sz w:val="24"/>
                <w:szCs w:val="24"/>
              </w:rPr>
              <w:t>Порядк</w:t>
            </w:r>
            <w:r w:rsidR="00D846BB">
              <w:rPr>
                <w:rFonts w:ascii="Times New Roman" w:hAnsi="Times New Roman"/>
                <w:b w:val="0"/>
                <w:sz w:val="24"/>
                <w:szCs w:val="24"/>
              </w:rPr>
              <w:t>е</w:t>
            </w:r>
            <w:r w:rsidR="00D846BB" w:rsidRPr="00D846BB">
              <w:rPr>
                <w:rFonts w:ascii="Times New Roman" w:hAnsi="Times New Roman"/>
                <w:b w:val="0"/>
                <w:sz w:val="24"/>
                <w:szCs w:val="24"/>
              </w:rPr>
              <w:t xml:space="preserve"> предоставления субсидий юридическим лицам (за исключением субсидии государственным (муниципальным) учреждениям) индивидуальным предпринимателям, физическим лицам, осуществляющим речные перевозки граждан между поселениями муниципального образования «Каргасокский район»</w:t>
            </w:r>
            <w:r w:rsidR="00D846BB">
              <w:rPr>
                <w:rFonts w:ascii="Times New Roman" w:hAnsi="Times New Roman"/>
                <w:b w:val="0"/>
                <w:sz w:val="24"/>
                <w:szCs w:val="24"/>
              </w:rPr>
              <w:t xml:space="preserve">  (далее </w:t>
            </w:r>
            <w:proofErr w:type="gramStart"/>
            <w:r w:rsidR="00D846BB">
              <w:rPr>
                <w:rFonts w:ascii="Times New Roman" w:hAnsi="Times New Roman"/>
                <w:b w:val="0"/>
                <w:sz w:val="24"/>
                <w:szCs w:val="24"/>
              </w:rPr>
              <w:t>–П</w:t>
            </w:r>
            <w:proofErr w:type="gramEnd"/>
            <w:r w:rsidR="00D846BB">
              <w:rPr>
                <w:rFonts w:ascii="Times New Roman" w:hAnsi="Times New Roman"/>
                <w:b w:val="0"/>
                <w:sz w:val="24"/>
                <w:szCs w:val="24"/>
              </w:rPr>
              <w:t xml:space="preserve">орядок) </w:t>
            </w:r>
            <w:r w:rsidR="00E36F6F" w:rsidRPr="00D846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не был</w:t>
            </w:r>
            <w:r w:rsidR="00F66396" w:rsidRPr="00D846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установлен срок направления главным распорядителем и органом местного финансового контроля сообщения получателю субсидии о необходимости ее возврата</w:t>
            </w:r>
            <w:r w:rsidR="00E36F6F" w:rsidRPr="00D846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и срок возврата части субсидии.</w:t>
            </w:r>
            <w:r w:rsidR="00D846BB" w:rsidRPr="00D846B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А так же утвержденный Порядок не соответствует в полной мере требованиям, установленным постановлением </w:t>
            </w:r>
            <w:r w:rsidR="00D846BB" w:rsidRPr="00D846BB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Правительства РФ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услуг».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5387" w:rsidRPr="001A7321" w:rsidRDefault="00E95F70" w:rsidP="008F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4.2. Оценка негативных эффектов, возникающих в связи с наличием рассматриваемой 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проблемы:</w:t>
            </w:r>
            <w:r w:rsidR="008F57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054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неопределенность </w:t>
            </w:r>
            <w:r w:rsidR="008F57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сроков для совершения действий может привести к неисполнению требований бюджетного законодательства</w:t>
            </w:r>
            <w:proofErr w:type="gramStart"/>
            <w:r w:rsidR="008F572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="0067752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6BCB" w:rsidRPr="001A7321" w:rsidRDefault="00E95F70" w:rsidP="001A7321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5. Описание предлагаемого способа муниципального регулирования, иных возможных способов решения проблемы:</w:t>
            </w:r>
            <w:r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предлагается 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 xml:space="preserve">внести изменения в </w:t>
            </w:r>
            <w:r w:rsidR="00C0742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2054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23BE4" w:rsidRDefault="00D846BB" w:rsidP="00B96BCB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котор</w:t>
            </w:r>
            <w:r w:rsidR="002054F6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="00B96BCB" w:rsidRPr="001A7321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устанавливается</w:t>
            </w:r>
            <w:r w:rsidR="00A23BE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846BB" w:rsidRDefault="00F9631D" w:rsidP="00F963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-срок направления главным распорядителем и органом муниципального </w:t>
            </w:r>
            <w:r w:rsidR="00D846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46BB" w:rsidRDefault="00D846BB" w:rsidP="00F963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31D">
              <w:rPr>
                <w:rFonts w:ascii="Times New Roman" w:hAnsi="Times New Roman" w:cs="Times New Roman"/>
                <w:sz w:val="24"/>
                <w:szCs w:val="24"/>
              </w:rPr>
              <w:t>финансово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F9631D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сообщения получателю субсидии о необходимости 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23BE4" w:rsidRPr="00A23BE4" w:rsidRDefault="00D846BB" w:rsidP="00F963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631D">
              <w:rPr>
                <w:rFonts w:ascii="Times New Roman" w:hAnsi="Times New Roman" w:cs="Times New Roman"/>
                <w:sz w:val="24"/>
                <w:szCs w:val="24"/>
              </w:rPr>
              <w:t>возврата;</w:t>
            </w:r>
          </w:p>
          <w:p w:rsidR="00F9631D" w:rsidRDefault="00F9631D" w:rsidP="00F9631D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-срок направления уведомления о возврате части субсидии в случае не </w:t>
            </w:r>
            <w:r w:rsidR="008F5728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E95F70" w:rsidRDefault="008F5728" w:rsidP="00F6639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F9631D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9631D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субсидии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срок ее возврата</w:t>
            </w:r>
            <w:r w:rsidR="00D846B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846BB" w:rsidRDefault="00D846BB" w:rsidP="00F6639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- учтены последние изменения законодательства Российской Федерации в части    </w:t>
            </w:r>
          </w:p>
          <w:p w:rsidR="00D846BB" w:rsidRPr="001A7321" w:rsidRDefault="00D846BB" w:rsidP="00F66396">
            <w:pPr>
              <w:tabs>
                <w:tab w:val="left" w:pos="113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требований к порядку предоставления субсидий.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F22A5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6. Ссылка на нормативные правовые акты или их отдельные положения, в соответствии с которыми осуществляется муниципальное регулирование:</w:t>
            </w:r>
            <w:r w:rsidR="0047271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A7321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ст. 78 Бюджетного кодекса Российской Федерации</w:t>
            </w:r>
            <w:r w:rsidR="00D846B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 </w:t>
            </w:r>
            <w:r w:rsidR="00D8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постановление</w:t>
            </w:r>
            <w:r w:rsidR="00D846BB" w:rsidRPr="00D846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846BB" w:rsidRPr="00D846BB">
              <w:rPr>
                <w:rFonts w:ascii="Times New Roman" w:hAnsi="Times New Roman" w:cs="Times New Roman"/>
                <w:sz w:val="24"/>
                <w:szCs w:val="24"/>
              </w:rPr>
              <w:t>Правительства РФ от 06.09.2016 №887 «Об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– производителям товаров, работ услуг».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BE3A2E" w:rsidRDefault="00E95F70" w:rsidP="00693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 Сведения об основных группах субъектов предпринимательской и инвестиционной деятельности, иных группах, включая органы местного самоуправления, муниципальные организации, интересы которых затрагиваются предлагаемым муниципальным регулированием, количественная оценка таких групп: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7.1. Основные затрагиваемые группы:</w:t>
            </w:r>
          </w:p>
          <w:p w:rsidR="00696EE5" w:rsidRPr="001A7321" w:rsidRDefault="00E95F70" w:rsidP="00696E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1)</w:t>
            </w:r>
            <w:r w:rsidR="00696E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Главный распорядитель бюджетных средств, предоставляющий субсидии в соответствии с утвержденным Порядком</w:t>
            </w:r>
            <w:r w:rsidR="00F22A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Орган муниципального финансового контроля</w:t>
            </w:r>
            <w:r w:rsidR="00696E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162C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075E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7.2.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Оценка количества участников отношений (по каждой затрагиваемой группе):</w:t>
            </w:r>
          </w:p>
          <w:p w:rsidR="0064523F" w:rsidRPr="001A7321" w:rsidRDefault="00E95F70" w:rsidP="006452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на стадии разработки проекта:</w:t>
            </w:r>
          </w:p>
          <w:p w:rsidR="00E95F70" w:rsidRPr="001A7321" w:rsidRDefault="00696EE5" w:rsidP="006452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66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бюджетных средств</w:t>
            </w:r>
            <w:r w:rsidR="00F22A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Орган муниципального финансового контроля – 2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после введения предполагаемого регулирования:</w:t>
            </w:r>
          </w:p>
          <w:p w:rsidR="0064523F" w:rsidRPr="001A7321" w:rsidRDefault="00696EE5" w:rsidP="00F22A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Главный распорядитель</w:t>
            </w:r>
            <w:r w:rsidR="00832B9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866F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бюджетных средств</w:t>
            </w:r>
            <w:r w:rsidR="00F22A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орган муниципального финансового контроля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– </w:t>
            </w:r>
            <w:r w:rsidR="00F22A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4523F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ед.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 Новые функции, полномочия, права и обязанности органов местного самоуправления, возникающие (изменяющиеся) при муниципальном регулировании: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предполагаются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38CA" w:rsidRDefault="00E95F70" w:rsidP="00A83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838CA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9. Новые обязанности,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обязанностей, запретов и ограничений для таких субъектов: </w:t>
            </w:r>
          </w:p>
          <w:p w:rsidR="00CC784E" w:rsidRPr="001A7321" w:rsidRDefault="00832B9F" w:rsidP="00696E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Предполагается ввести</w:t>
            </w:r>
            <w:r w:rsidR="00A838C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696EE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обязанности: нет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 Оценка соответствующих расходов (доходов) бюджетов бюджетной системы РФ, возникающих при муниципальном регулировании: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10.1. Федеральный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0 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10.2. Региональный бюджет: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10.3. Муниципальный бюджет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10.4. Внебюджетные фонды: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 Оценка расходов субъектов предпринимательской и инвестиционной деятельности в случае, когда реализация проекта нормативного правового акта будет способствовать возникновению расходов: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0 (ноль) рублей.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E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Ожидаемые результаты и риски решения проблемы предложенным способом регулирования, риски негативных последствий:</w:t>
            </w:r>
            <w:r w:rsidR="00324EB8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отсутствуют.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5E4F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13. Описание методов контроля эффективности выбранного способа достижения цели регулирования:</w:t>
            </w:r>
            <w:r w:rsidR="00B96BCB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5E4F7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отсутствуют</w:t>
            </w:r>
            <w:r w:rsidR="00324EB8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>.</w:t>
            </w:r>
            <w:r w:rsidR="00AF67B4" w:rsidRPr="001A7321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 Необходимые для достижения заявленных целей регулирования организационно-технические, методологические, информационные и иные мероприятия:</w:t>
            </w:r>
          </w:p>
        </w:tc>
      </w:tr>
      <w:tr w:rsidR="00E95F70" w:rsidRPr="00E95F70" w:rsidTr="00AF67B4">
        <w:tc>
          <w:tcPr>
            <w:tcW w:w="25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Мероприятия, необходимые для достижения целей регулирования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Объем финансирования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Источник финансирования</w:t>
            </w:r>
          </w:p>
        </w:tc>
        <w:tc>
          <w:tcPr>
            <w:tcW w:w="1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AF67B4">
        <w:tc>
          <w:tcPr>
            <w:tcW w:w="25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677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677520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AF67B4" w:rsidP="00AF67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95F70" w:rsidRPr="001A7321" w:rsidRDefault="00E95F70" w:rsidP="00E95F7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 Предполагаемая дата вступления в силу проекта акта, оценка необходимости установления переходного периода и (или) отсрочки вступления в силу проекта акта либо необходимость распространения предлагаемого регулирования на ранее возникшие отношения:</w:t>
            </w:r>
            <w:r w:rsidR="0084490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F22A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 января 2020 года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C264E" w:rsidRPr="001A7321" w:rsidRDefault="00E95F70" w:rsidP="004C26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15.1. Необходимость установления переходного периода и (или) отсрочка введения пре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дполагаемого регулирования: отсутствует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FA73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15.2. Необходимость распространения предлагаемого регулирования на ра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нее возникшие отношения: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отсутствует</w:t>
            </w:r>
            <w:r w:rsidR="00AF67B4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E95F70" w:rsidRPr="00E95F70" w:rsidTr="00E7788A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 Сведения о проведении публичных консультаций: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16.1. Полный электронный адрес размещения уведомления о проведении публичных консультаций, проекта нормативного правового акта, пояснительной записки к нему:</w:t>
            </w:r>
          </w:p>
          <w:p w:rsidR="00AE016B" w:rsidRPr="001A7321" w:rsidRDefault="00E8737E" w:rsidP="00E95F70">
            <w:pPr>
              <w:autoSpaceDE w:val="0"/>
              <w:autoSpaceDN w:val="0"/>
              <w:adjustRightInd w:val="0"/>
              <w:spacing w:after="0" w:line="240" w:lineRule="auto"/>
            </w:pPr>
            <w:hyperlink r:id="rId4" w:history="1">
              <w:r w:rsidR="00AE016B" w:rsidRPr="001A7321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http://www.kargasok.ru/tek_procedur.html</w:t>
              </w:r>
            </w:hyperlink>
            <w:r w:rsidR="00AE016B" w:rsidRPr="001A7321"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16.2. Срок проведения публичных консультаций:</w:t>
            </w:r>
          </w:p>
          <w:p w:rsidR="00E95F70" w:rsidRPr="001A7321" w:rsidRDefault="00FA738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 w:rsidR="00F22A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ачало: "28</w:t>
            </w: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F22A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ноября</w:t>
            </w:r>
            <w:r w:rsidR="00AC35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95F70" w:rsidRPr="001A7321" w:rsidRDefault="00844907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окончание: "</w:t>
            </w:r>
            <w:r w:rsidR="00F22A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</w:t>
            </w:r>
            <w:r w:rsidR="00FA7387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" </w:t>
            </w:r>
            <w:r w:rsidR="00F22A5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декабря</w:t>
            </w:r>
            <w:r w:rsidR="00AC35E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2019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ода</w:t>
            </w:r>
            <w:r w:rsidR="00E95F70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95F70" w:rsidRPr="001A7321" w:rsidRDefault="00E95F70" w:rsidP="00E95F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16.3. Иные сведения о проведении публичных консультаций: </w:t>
            </w:r>
            <w:r w:rsidR="004C264E" w:rsidRPr="001A732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отсутствуют.</w:t>
            </w:r>
          </w:p>
        </w:tc>
      </w:tr>
    </w:tbl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Управление финансов </w:t>
      </w:r>
      <w:r w:rsidR="001F712E">
        <w:rPr>
          <w:rFonts w:ascii="Times New Roman" w:eastAsiaTheme="minorHAnsi" w:hAnsi="Times New Roman" w:cs="Times New Roman"/>
          <w:sz w:val="24"/>
          <w:szCs w:val="24"/>
          <w:lang w:eastAsia="en-US"/>
        </w:rPr>
        <w:t>АК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Р</w:t>
      </w:r>
    </w:p>
    <w:p w:rsidR="00AC50D8" w:rsidRPr="00E95F70" w:rsidRDefault="00AC50D8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>________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                    </w:t>
      </w:r>
      <w:r w:rsidR="008E4080">
        <w:rPr>
          <w:rFonts w:ascii="Times New Roman" w:eastAsiaTheme="minorHAnsi" w:hAnsi="Times New Roman" w:cs="Times New Roman"/>
          <w:sz w:val="24"/>
          <w:szCs w:val="24"/>
          <w:lang w:eastAsia="en-US"/>
        </w:rPr>
        <w:t>Т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  <w:r w:rsidR="008E408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В</w:t>
      </w:r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. </w:t>
      </w:r>
      <w:proofErr w:type="spellStart"/>
      <w:r w:rsidR="00FA7387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А</w:t>
      </w:r>
      <w:r w:rsidR="008E4080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ндрейчук</w:t>
      </w:r>
      <w:proofErr w:type="spellEnd"/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</w:t>
      </w:r>
      <w:r w:rsidR="008F5728">
        <w:rPr>
          <w:rFonts w:ascii="Times New Roman" w:eastAsiaTheme="minorHAnsi" w:hAnsi="Times New Roman" w:cs="Times New Roman"/>
          <w:sz w:val="24"/>
          <w:szCs w:val="24"/>
          <w:lang w:eastAsia="en-US"/>
        </w:rPr>
        <w:t>11.12</w:t>
      </w:r>
      <w:r w:rsidR="00B57889">
        <w:rPr>
          <w:rFonts w:ascii="Times New Roman" w:eastAsiaTheme="minorHAnsi" w:hAnsi="Times New Roman" w:cs="Times New Roman"/>
          <w:sz w:val="24"/>
          <w:szCs w:val="24"/>
          <w:lang w:eastAsia="en-US"/>
        </w:rPr>
        <w:t>.2019</w:t>
      </w:r>
    </w:p>
    <w:p w:rsidR="00A61077" w:rsidRPr="00E95F70" w:rsidRDefault="00A61077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E95F70" w:rsidRPr="00E95F70" w:rsidRDefault="00E95F70" w:rsidP="00E95F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1C5748" w:rsidRDefault="00E95F70" w:rsidP="001C574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95F70">
        <w:rPr>
          <w:rFonts w:ascii="Times New Roman" w:eastAsiaTheme="minorHAnsi" w:hAnsi="Times New Roman" w:cs="Times New Roman"/>
          <w:sz w:val="24"/>
          <w:szCs w:val="24"/>
          <w:lang w:eastAsia="en-US"/>
        </w:rPr>
        <w:br w:type="page"/>
      </w:r>
      <w:r w:rsidR="001C5748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к Сводному отчету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</w:rPr>
        <w:t>СВОДКА ПРЕДЛОЖЕНИЙ К СВОДНОМУ ОТЧЕТУ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результатах проведения оценки регулирующего воздействия 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проекта нормативного правового акта</w:t>
      </w:r>
    </w:p>
    <w:p w:rsidR="001C5748" w:rsidRDefault="001C5748" w:rsidP="001C5748">
      <w:pPr>
        <w:spacing w:line="240" w:lineRule="auto"/>
        <w:jc w:val="center"/>
        <w:rPr>
          <w:rFonts w:ascii="Times New Roman" w:hAnsi="Times New Roman" w:cs="Times New Roman"/>
          <w:bCs/>
        </w:rPr>
      </w:pPr>
    </w:p>
    <w:p w:rsidR="001C5748" w:rsidRDefault="001C5748" w:rsidP="001C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проекта нормативного правового акта: «О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от 06.06.2017 № 151.» 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публичного обсуждения</w:t>
      </w:r>
      <w:r w:rsidR="008F5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начало: "28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"</w:t>
      </w:r>
      <w:r w:rsidR="008F572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ноября 2019 года окончание: "10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F5728">
        <w:rPr>
          <w:rFonts w:ascii="Times New Roman" w:eastAsiaTheme="minorHAnsi" w:hAnsi="Times New Roman" w:cs="Times New Roman"/>
          <w:sz w:val="24"/>
          <w:szCs w:val="24"/>
          <w:lang w:eastAsia="en-US"/>
        </w:rPr>
        <w:t>декабря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2019 года.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5748" w:rsidRDefault="001C5748" w:rsidP="001C5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экспертов, участвовавших в обсуждении: 0.</w:t>
      </w:r>
    </w:p>
    <w:p w:rsidR="001C5748" w:rsidRDefault="001C5748" w:rsidP="001C574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формирования сводки предложений: </w:t>
      </w:r>
      <w:r w:rsidR="008F5728">
        <w:rPr>
          <w:rFonts w:ascii="Times New Roman" w:hAnsi="Times New Roman" w:cs="Times New Roman"/>
          <w:sz w:val="24"/>
          <w:szCs w:val="24"/>
        </w:rPr>
        <w:t>11.11.2019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W w:w="5000" w:type="pct"/>
        <w:tblCellMar>
          <w:left w:w="107" w:type="dxa"/>
        </w:tblCellMar>
        <w:tblLook w:val="04A0"/>
      </w:tblPr>
      <w:tblGrid>
        <w:gridCol w:w="661"/>
        <w:gridCol w:w="2479"/>
        <w:gridCol w:w="2637"/>
        <w:gridCol w:w="2675"/>
        <w:gridCol w:w="1068"/>
        <w:gridCol w:w="50"/>
      </w:tblGrid>
      <w:tr w:rsidR="001C5748" w:rsidTr="001C574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Участник обсуждения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Позиция участника обсуждения</w:t>
            </w: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b/>
                <w:lang w:eastAsia="en-US"/>
              </w:rPr>
              <w:t>Комментарии разработчика</w:t>
            </w:r>
          </w:p>
        </w:tc>
      </w:tr>
      <w:tr w:rsidR="001C5748" w:rsidTr="001C574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center"/>
              <w:rPr>
                <w:rFonts w:ascii="Times New Roman" w:eastAsia="Arial" w:hAnsi="Times New Roman" w:cs="Times New Roman"/>
                <w:lang w:eastAsia="en-US"/>
              </w:rPr>
            </w:pPr>
            <w:r>
              <w:rPr>
                <w:rFonts w:ascii="Times New Roman" w:eastAsia="Arial" w:hAnsi="Times New Roman" w:cs="Times New Roman"/>
                <w:lang w:eastAsia="en-US"/>
              </w:rPr>
              <w:t>1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  <w:p w:rsidR="001C5748" w:rsidRDefault="001C5748">
            <w:pPr>
              <w:spacing w:line="240" w:lineRule="auto"/>
              <w:jc w:val="both"/>
              <w:rPr>
                <w:rFonts w:ascii="Times New Roman" w:eastAsia="Arial" w:hAnsi="Times New Roman" w:cs="Times New Roman"/>
                <w:lang w:eastAsia="en-US"/>
              </w:rPr>
            </w:pPr>
          </w:p>
        </w:tc>
      </w:tr>
      <w:tr w:rsidR="001C5748" w:rsidTr="001C5748">
        <w:trPr>
          <w:trHeight w:val="270"/>
        </w:trPr>
        <w:tc>
          <w:tcPr>
            <w:tcW w:w="6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748" w:rsidRDefault="001C574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4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748" w:rsidRDefault="001C574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748" w:rsidRDefault="001C574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  <w:tc>
          <w:tcPr>
            <w:tcW w:w="37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C5748" w:rsidRDefault="001C5748">
            <w:pPr>
              <w:spacing w:line="240" w:lineRule="auto"/>
              <w:jc w:val="center"/>
              <w:rPr>
                <w:rFonts w:ascii="Arial" w:eastAsia="Arial" w:hAnsi="Arial" w:cs="Arial"/>
                <w:b/>
                <w:lang w:eastAsia="en-US"/>
              </w:rPr>
            </w:pPr>
          </w:p>
        </w:tc>
      </w:tr>
      <w:tr w:rsidR="001C5748" w:rsidTr="001C574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поступивших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5748" w:rsidTr="001C574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5748" w:rsidTr="001C574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частично 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C5748" w:rsidTr="001C5748">
        <w:trPr>
          <w:gridAfter w:val="1"/>
          <w:wAfter w:w="50" w:type="dxa"/>
        </w:trPr>
        <w:tc>
          <w:tcPr>
            <w:tcW w:w="845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количество неучтенных предложений</w:t>
            </w:r>
          </w:p>
        </w:tc>
        <w:tc>
          <w:tcPr>
            <w:tcW w:w="1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57" w:type="dxa"/>
              <w:bottom w:w="0" w:type="dxa"/>
              <w:right w:w="108" w:type="dxa"/>
            </w:tcMar>
            <w:hideMark/>
          </w:tcPr>
          <w:p w:rsidR="001C5748" w:rsidRDefault="001C5748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1C5748" w:rsidRDefault="001C5748" w:rsidP="001C574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Разработчик проекта нормативного правового акта: Управление финансов АКР</w:t>
      </w:r>
    </w:p>
    <w:p w:rsidR="00AC50D8" w:rsidRDefault="00AC50D8" w:rsidP="001C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____________                     </w:t>
      </w:r>
      <w:proofErr w:type="spellStart"/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Т.В.Андрейчук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</w:t>
      </w:r>
      <w:r w:rsidR="008F5728">
        <w:rPr>
          <w:rFonts w:ascii="Times New Roman" w:eastAsiaTheme="minorHAnsi" w:hAnsi="Times New Roman" w:cs="Times New Roman"/>
          <w:sz w:val="24"/>
          <w:szCs w:val="24"/>
          <w:lang w:eastAsia="en-US"/>
        </w:rPr>
        <w:t>11.12</w:t>
      </w:r>
      <w:r w:rsidR="00B57889">
        <w:rPr>
          <w:rFonts w:ascii="Times New Roman" w:eastAsiaTheme="minorHAnsi" w:hAnsi="Times New Roman" w:cs="Times New Roman"/>
          <w:sz w:val="24"/>
          <w:szCs w:val="24"/>
          <w:lang w:eastAsia="en-US"/>
        </w:rPr>
        <w:t>.2019</w:t>
      </w:r>
    </w:p>
    <w:p w:rsidR="001C5748" w:rsidRDefault="001C5748" w:rsidP="001C5748">
      <w:pPr>
        <w:autoSpaceDE w:val="0"/>
        <w:autoSpaceDN w:val="0"/>
        <w:adjustRightInd w:val="0"/>
        <w:spacing w:after="0" w:line="240" w:lineRule="auto"/>
        <w:jc w:val="both"/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(подпись)                                 (Ф.И.О.)                                (дата)</w:t>
      </w:r>
    </w:p>
    <w:p w:rsidR="00E95F70" w:rsidRPr="00E95F70" w:rsidRDefault="00E95F70" w:rsidP="00E95F70">
      <w:pPr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sectPr w:rsidR="00E95F70" w:rsidRPr="00E95F70" w:rsidSect="00A6107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5F70"/>
    <w:rsid w:val="000065A1"/>
    <w:rsid w:val="00013D31"/>
    <w:rsid w:val="00014D6C"/>
    <w:rsid w:val="00031BDB"/>
    <w:rsid w:val="00051131"/>
    <w:rsid w:val="0006269B"/>
    <w:rsid w:val="000C139F"/>
    <w:rsid w:val="000C3BF8"/>
    <w:rsid w:val="000C633D"/>
    <w:rsid w:val="00126275"/>
    <w:rsid w:val="00145B8B"/>
    <w:rsid w:val="00176B91"/>
    <w:rsid w:val="001918F4"/>
    <w:rsid w:val="001A7321"/>
    <w:rsid w:val="001C5748"/>
    <w:rsid w:val="001F59A6"/>
    <w:rsid w:val="001F712E"/>
    <w:rsid w:val="002054F6"/>
    <w:rsid w:val="00213120"/>
    <w:rsid w:val="002772BD"/>
    <w:rsid w:val="002E3F6C"/>
    <w:rsid w:val="00312671"/>
    <w:rsid w:val="00324EB8"/>
    <w:rsid w:val="0035115A"/>
    <w:rsid w:val="003C1503"/>
    <w:rsid w:val="00405E4A"/>
    <w:rsid w:val="00443666"/>
    <w:rsid w:val="0046028F"/>
    <w:rsid w:val="00472717"/>
    <w:rsid w:val="004B0B21"/>
    <w:rsid w:val="004C264E"/>
    <w:rsid w:val="005A4414"/>
    <w:rsid w:val="005E4F71"/>
    <w:rsid w:val="005E5892"/>
    <w:rsid w:val="0064523F"/>
    <w:rsid w:val="00665387"/>
    <w:rsid w:val="00677520"/>
    <w:rsid w:val="0069350F"/>
    <w:rsid w:val="00696EE5"/>
    <w:rsid w:val="006E2BE5"/>
    <w:rsid w:val="00720D43"/>
    <w:rsid w:val="007574CE"/>
    <w:rsid w:val="007E48A7"/>
    <w:rsid w:val="007E6ABA"/>
    <w:rsid w:val="00832B9F"/>
    <w:rsid w:val="00844907"/>
    <w:rsid w:val="00847519"/>
    <w:rsid w:val="008C3EBD"/>
    <w:rsid w:val="008E3A96"/>
    <w:rsid w:val="008E4080"/>
    <w:rsid w:val="008F5728"/>
    <w:rsid w:val="009426E3"/>
    <w:rsid w:val="00954826"/>
    <w:rsid w:val="00991EA6"/>
    <w:rsid w:val="009E506F"/>
    <w:rsid w:val="00A06E4F"/>
    <w:rsid w:val="00A23BE4"/>
    <w:rsid w:val="00A27A39"/>
    <w:rsid w:val="00A40A95"/>
    <w:rsid w:val="00A44B97"/>
    <w:rsid w:val="00A61077"/>
    <w:rsid w:val="00A622AD"/>
    <w:rsid w:val="00A838CA"/>
    <w:rsid w:val="00A9671D"/>
    <w:rsid w:val="00AC0266"/>
    <w:rsid w:val="00AC35ED"/>
    <w:rsid w:val="00AC50D8"/>
    <w:rsid w:val="00AE016B"/>
    <w:rsid w:val="00AE4780"/>
    <w:rsid w:val="00AF67B4"/>
    <w:rsid w:val="00B354D3"/>
    <w:rsid w:val="00B57889"/>
    <w:rsid w:val="00B96BCB"/>
    <w:rsid w:val="00BC14E1"/>
    <w:rsid w:val="00BD2DD7"/>
    <w:rsid w:val="00BE3A2E"/>
    <w:rsid w:val="00C07429"/>
    <w:rsid w:val="00C15B63"/>
    <w:rsid w:val="00C327E4"/>
    <w:rsid w:val="00C3299E"/>
    <w:rsid w:val="00CC784E"/>
    <w:rsid w:val="00CE3A9B"/>
    <w:rsid w:val="00D83014"/>
    <w:rsid w:val="00D846BB"/>
    <w:rsid w:val="00E075E2"/>
    <w:rsid w:val="00E36F6F"/>
    <w:rsid w:val="00E659BF"/>
    <w:rsid w:val="00E7788A"/>
    <w:rsid w:val="00E866F6"/>
    <w:rsid w:val="00E8737E"/>
    <w:rsid w:val="00E95F70"/>
    <w:rsid w:val="00EA5D3C"/>
    <w:rsid w:val="00EE03CA"/>
    <w:rsid w:val="00F10ED6"/>
    <w:rsid w:val="00F162C6"/>
    <w:rsid w:val="00F22A54"/>
    <w:rsid w:val="00F33AB0"/>
    <w:rsid w:val="00F66396"/>
    <w:rsid w:val="00F9631D"/>
    <w:rsid w:val="00FA7387"/>
    <w:rsid w:val="00FC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E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0511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E016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40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40A9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57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kargasok.ru/tek_procedur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482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petrova</dc:creator>
  <cp:lastModifiedBy>DOHOD</cp:lastModifiedBy>
  <cp:revision>36</cp:revision>
  <cp:lastPrinted>2019-12-10T04:31:00Z</cp:lastPrinted>
  <dcterms:created xsi:type="dcterms:W3CDTF">2018-10-22T04:43:00Z</dcterms:created>
  <dcterms:modified xsi:type="dcterms:W3CDTF">2019-12-10T05:22:00Z</dcterms:modified>
</cp:coreProperties>
</file>