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32C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201</w:t>
      </w:r>
      <w:r w:rsidR="004D06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625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</w:t>
            </w:r>
            <w:r w:rsidR="00B21B8A">
              <w:rPr>
                <w:rFonts w:ascii="Times New Roman" w:hAnsi="Times New Roman" w:cs="Times New Roman"/>
                <w:sz w:val="24"/>
                <w:szCs w:val="24"/>
              </w:rPr>
              <w:t>твенного доступа  (далее – ЦОД).</w:t>
            </w:r>
          </w:p>
          <w:p w:rsidR="00CC52F9" w:rsidRPr="0097548A" w:rsidRDefault="00552214" w:rsidP="005A6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</w:t>
            </w:r>
          </w:p>
          <w:p w:rsidR="004B5B66" w:rsidRPr="004B5B66" w:rsidRDefault="003E4404" w:rsidP="00142446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2019-07-01T04:37:00Z</dcterms:created>
  <dcterms:modified xsi:type="dcterms:W3CDTF">2019-07-01T04:37:00Z</dcterms:modified>
</cp:coreProperties>
</file>