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F3" w:rsidRDefault="009E5EF3">
      <w:pPr>
        <w:pStyle w:val="ConsPlusNormal"/>
        <w:jc w:val="both"/>
        <w:outlineLvl w:val="0"/>
      </w:pPr>
    </w:p>
    <w:tbl>
      <w:tblPr>
        <w:tblW w:w="9691" w:type="dxa"/>
        <w:tblLook w:val="01E0" w:firstRow="1" w:lastRow="1" w:firstColumn="1" w:lastColumn="1" w:noHBand="0" w:noVBand="0"/>
      </w:tblPr>
      <w:tblGrid>
        <w:gridCol w:w="4928"/>
        <w:gridCol w:w="4763"/>
      </w:tblGrid>
      <w:tr w:rsidR="00F20E66" w:rsidRPr="000F3855" w:rsidTr="00236A39">
        <w:tc>
          <w:tcPr>
            <w:tcW w:w="9691" w:type="dxa"/>
            <w:gridSpan w:val="2"/>
            <w:shd w:val="clear" w:color="auto" w:fill="auto"/>
          </w:tcPr>
          <w:p w:rsidR="00F20E66" w:rsidRDefault="00F20E66" w:rsidP="00236A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F20E66" w:rsidRPr="000F3855" w:rsidRDefault="00F20E66" w:rsidP="00236A39">
            <w:pPr>
              <w:jc w:val="center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УПРАВЛЕНИЕ ФИНАНСОВ</w:t>
            </w:r>
          </w:p>
          <w:p w:rsidR="00F20E66" w:rsidRPr="000F3855" w:rsidRDefault="00F20E66" w:rsidP="00236A39">
            <w:pPr>
              <w:jc w:val="center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F20E66" w:rsidRPr="000F3855" w:rsidRDefault="00F20E66" w:rsidP="00236A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20E66" w:rsidRPr="000F3855" w:rsidRDefault="00F20E66" w:rsidP="00236A3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20E66" w:rsidRPr="000F3855" w:rsidTr="00236A39">
        <w:tc>
          <w:tcPr>
            <w:tcW w:w="9691" w:type="dxa"/>
            <w:gridSpan w:val="2"/>
            <w:shd w:val="clear" w:color="auto" w:fill="auto"/>
          </w:tcPr>
          <w:p w:rsidR="00F20E66" w:rsidRPr="00F20E66" w:rsidRDefault="00F20E66" w:rsidP="00090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Приказ №</w:t>
            </w:r>
            <w:r w:rsidR="0078263D">
              <w:rPr>
                <w:b/>
                <w:sz w:val="28"/>
                <w:szCs w:val="28"/>
              </w:rPr>
              <w:t>5</w:t>
            </w:r>
            <w:r w:rsidRPr="000F385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0E66" w:rsidRPr="004C683E" w:rsidTr="00236A39">
        <w:tc>
          <w:tcPr>
            <w:tcW w:w="9691" w:type="dxa"/>
            <w:gridSpan w:val="2"/>
            <w:shd w:val="clear" w:color="auto" w:fill="auto"/>
          </w:tcPr>
          <w:p w:rsidR="00F20E66" w:rsidRPr="004C683E" w:rsidRDefault="00F20E66" w:rsidP="00236A39">
            <w:pPr>
              <w:jc w:val="center"/>
            </w:pPr>
            <w:r w:rsidRPr="004C683E">
              <w:t>по основной деятельности</w:t>
            </w:r>
          </w:p>
          <w:p w:rsidR="00F20E66" w:rsidRPr="004C683E" w:rsidRDefault="00F20E66" w:rsidP="00236A39">
            <w:pPr>
              <w:spacing w:line="360" w:lineRule="auto"/>
              <w:jc w:val="center"/>
              <w:rPr>
                <w:b/>
              </w:rPr>
            </w:pPr>
          </w:p>
        </w:tc>
      </w:tr>
      <w:tr w:rsidR="00F20E66" w:rsidRPr="004C683E" w:rsidTr="00236A39">
        <w:tc>
          <w:tcPr>
            <w:tcW w:w="4928" w:type="dxa"/>
            <w:shd w:val="clear" w:color="auto" w:fill="auto"/>
          </w:tcPr>
          <w:p w:rsidR="00F20E66" w:rsidRPr="004C683E" w:rsidRDefault="00F20E66" w:rsidP="00236A39"/>
        </w:tc>
        <w:tc>
          <w:tcPr>
            <w:tcW w:w="4763" w:type="dxa"/>
            <w:shd w:val="clear" w:color="auto" w:fill="auto"/>
          </w:tcPr>
          <w:p w:rsidR="00F20E66" w:rsidRPr="004C683E" w:rsidRDefault="0078263D" w:rsidP="00E84EC8">
            <w:pPr>
              <w:spacing w:line="360" w:lineRule="auto"/>
              <w:jc w:val="right"/>
            </w:pPr>
            <w:r>
              <w:t>13</w:t>
            </w:r>
            <w:r w:rsidR="00F20E66">
              <w:t>.</w:t>
            </w:r>
            <w:r w:rsidR="00E84EC8">
              <w:t>03.2018</w:t>
            </w:r>
            <w:r w:rsidR="00F20E66" w:rsidRPr="004C683E">
              <w:t xml:space="preserve"> г.</w:t>
            </w:r>
          </w:p>
        </w:tc>
      </w:tr>
    </w:tbl>
    <w:p w:rsidR="00F20E66" w:rsidRDefault="00F20E66" w:rsidP="00F20E66">
      <w:pPr>
        <w:rPr>
          <w:rFonts w:eastAsia="SimSun"/>
        </w:rPr>
      </w:pPr>
      <w:r>
        <w:rPr>
          <w:rFonts w:eastAsia="SimSun"/>
        </w:rPr>
        <w:t>Об утверждении порядка исполнения</w:t>
      </w:r>
    </w:p>
    <w:p w:rsidR="00EB6084" w:rsidRDefault="009F3BB2" w:rsidP="00F20E66">
      <w:pPr>
        <w:rPr>
          <w:rFonts w:eastAsia="SimSun"/>
        </w:rPr>
      </w:pPr>
      <w:r>
        <w:rPr>
          <w:rFonts w:eastAsia="SimSun"/>
        </w:rPr>
        <w:t>бюджета м</w:t>
      </w:r>
      <w:r w:rsidR="00EB6084">
        <w:rPr>
          <w:rFonts w:eastAsia="SimSun"/>
        </w:rPr>
        <w:t>униципального образования</w:t>
      </w:r>
    </w:p>
    <w:p w:rsidR="00F20E66" w:rsidRDefault="00EB6084" w:rsidP="00F20E66">
      <w:pPr>
        <w:rPr>
          <w:rFonts w:eastAsia="SimSun"/>
        </w:rPr>
      </w:pPr>
      <w:r>
        <w:rPr>
          <w:rFonts w:eastAsia="SimSun"/>
        </w:rPr>
        <w:t xml:space="preserve">«Каргасокский район» </w:t>
      </w:r>
      <w:r w:rsidR="00F20E66">
        <w:rPr>
          <w:rFonts w:eastAsia="SimSun"/>
        </w:rPr>
        <w:t xml:space="preserve"> в части учета</w:t>
      </w:r>
    </w:p>
    <w:p w:rsidR="00F20E66" w:rsidRDefault="00F20E66" w:rsidP="00F20E66">
      <w:pPr>
        <w:rPr>
          <w:rFonts w:eastAsia="SimSun"/>
        </w:rPr>
      </w:pPr>
      <w:r>
        <w:rPr>
          <w:rFonts w:eastAsia="SimSun"/>
        </w:rPr>
        <w:t>бюджетных и денежных обязательств</w:t>
      </w:r>
    </w:p>
    <w:p w:rsidR="00F20E66" w:rsidRDefault="00F20E66" w:rsidP="00F20E66">
      <w:pPr>
        <w:rPr>
          <w:rFonts w:eastAsia="SimSun"/>
        </w:rPr>
      </w:pPr>
      <w:r>
        <w:rPr>
          <w:rFonts w:eastAsia="SimSun"/>
        </w:rPr>
        <w:t>получателей средств бюджета</w:t>
      </w:r>
      <w:r w:rsidR="00E84EC8">
        <w:rPr>
          <w:rFonts w:eastAsia="SimSun"/>
        </w:rPr>
        <w:t xml:space="preserve"> </w:t>
      </w:r>
      <w:proofErr w:type="spellStart"/>
      <w:r w:rsidR="00E84EC8">
        <w:rPr>
          <w:rFonts w:eastAsia="SimSun"/>
        </w:rPr>
        <w:t>м</w:t>
      </w:r>
      <w:r w:rsidR="00EB6084">
        <w:rPr>
          <w:rFonts w:eastAsia="SimSun"/>
        </w:rPr>
        <w:t>уници</w:t>
      </w:r>
      <w:proofErr w:type="spellEnd"/>
      <w:r w:rsidR="00EB6084">
        <w:rPr>
          <w:rFonts w:eastAsia="SimSun"/>
        </w:rPr>
        <w:t>-</w:t>
      </w:r>
    </w:p>
    <w:p w:rsidR="00EB6084" w:rsidRDefault="00EB6084" w:rsidP="00F20E66">
      <w:pPr>
        <w:rPr>
          <w:rFonts w:eastAsia="SimSun"/>
        </w:rPr>
      </w:pPr>
      <w:proofErr w:type="spellStart"/>
      <w:r>
        <w:rPr>
          <w:rFonts w:eastAsia="SimSun"/>
        </w:rPr>
        <w:t>пального</w:t>
      </w:r>
      <w:proofErr w:type="spellEnd"/>
      <w:r>
        <w:rPr>
          <w:rFonts w:eastAsia="SimSun"/>
        </w:rPr>
        <w:t xml:space="preserve"> образования «</w:t>
      </w:r>
      <w:proofErr w:type="spellStart"/>
      <w:r>
        <w:rPr>
          <w:rFonts w:eastAsia="SimSun"/>
        </w:rPr>
        <w:t>Каргасокский</w:t>
      </w:r>
      <w:proofErr w:type="spellEnd"/>
      <w:r>
        <w:rPr>
          <w:rFonts w:eastAsia="SimSun"/>
        </w:rPr>
        <w:t xml:space="preserve"> </w:t>
      </w:r>
    </w:p>
    <w:p w:rsidR="00EB6084" w:rsidRPr="00671708" w:rsidRDefault="00EB6084" w:rsidP="00F20E66">
      <w:pPr>
        <w:rPr>
          <w:rFonts w:eastAsia="SimSun"/>
        </w:rPr>
      </w:pPr>
      <w:r>
        <w:rPr>
          <w:rFonts w:eastAsia="SimSun"/>
        </w:rPr>
        <w:t>район»</w:t>
      </w:r>
    </w:p>
    <w:p w:rsidR="00F20E66" w:rsidRDefault="00F20E66">
      <w:pPr>
        <w:pStyle w:val="ConsPlusNormal"/>
        <w:jc w:val="both"/>
        <w:outlineLvl w:val="0"/>
      </w:pPr>
    </w:p>
    <w:p w:rsidR="00F20E66" w:rsidRDefault="00F20E66">
      <w:pPr>
        <w:pStyle w:val="ConsPlusNormal"/>
        <w:jc w:val="both"/>
        <w:outlineLvl w:val="0"/>
      </w:pPr>
    </w:p>
    <w:p w:rsidR="00F20E66" w:rsidRDefault="00F20E66">
      <w:pPr>
        <w:pStyle w:val="ConsPlusNormal"/>
        <w:jc w:val="both"/>
        <w:outlineLvl w:val="0"/>
      </w:pPr>
    </w:p>
    <w:p w:rsidR="009E5EF3" w:rsidRPr="00412A92" w:rsidRDefault="009E5EF3">
      <w:pPr>
        <w:pStyle w:val="ConsPlusNormal"/>
        <w:jc w:val="center"/>
        <w:rPr>
          <w:color w:val="000000" w:themeColor="text1"/>
        </w:rPr>
      </w:pPr>
    </w:p>
    <w:p w:rsidR="00F20E66" w:rsidRPr="00F61992" w:rsidRDefault="009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 w:history="1">
        <w:r w:rsidRPr="00F619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219</w:t>
        </w:r>
      </w:hyperlink>
      <w:r w:rsidRPr="00F61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</w:t>
      </w:r>
      <w:r w:rsidR="00F61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A92" w:rsidRPr="00F61992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proofErr w:type="spellStart"/>
      <w:r w:rsidR="00412A92" w:rsidRPr="00F61992">
        <w:rPr>
          <w:rFonts w:ascii="Times New Roman" w:hAnsi="Times New Roman" w:cs="Times New Roman"/>
          <w:sz w:val="24"/>
          <w:szCs w:val="24"/>
        </w:rPr>
        <w:t>К</w:t>
      </w:r>
      <w:r w:rsidR="00EE6307">
        <w:rPr>
          <w:rFonts w:ascii="Times New Roman" w:hAnsi="Times New Roman" w:cs="Times New Roman"/>
          <w:sz w:val="24"/>
          <w:szCs w:val="24"/>
        </w:rPr>
        <w:t>аргасокском</w:t>
      </w:r>
      <w:proofErr w:type="spellEnd"/>
      <w:r w:rsidR="00EE6307">
        <w:rPr>
          <w:rFonts w:ascii="Times New Roman" w:hAnsi="Times New Roman" w:cs="Times New Roman"/>
          <w:sz w:val="24"/>
          <w:szCs w:val="24"/>
        </w:rPr>
        <w:t xml:space="preserve"> районе утвержденным</w:t>
      </w:r>
      <w:r w:rsidR="00412A92" w:rsidRPr="00F6199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236A39">
        <w:rPr>
          <w:rFonts w:ascii="Times New Roman" w:hAnsi="Times New Roman" w:cs="Times New Roman"/>
          <w:sz w:val="24"/>
          <w:szCs w:val="24"/>
        </w:rPr>
        <w:t>Думы Каргасокского района  от 18.12.2013г. №253</w:t>
      </w:r>
    </w:p>
    <w:p w:rsidR="00F61992" w:rsidRDefault="00F61992" w:rsidP="00F20E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4994" w:rsidRDefault="009F4994" w:rsidP="00F20E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F20E66" w:rsidP="00F20E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ПРИКАЗЫВАЮ: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F6199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E81381" w:rsidRPr="00F6199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9F3BB2">
        <w:rPr>
          <w:rFonts w:ascii="Times New Roman" w:hAnsi="Times New Roman" w:cs="Times New Roman"/>
          <w:sz w:val="24"/>
          <w:szCs w:val="24"/>
        </w:rPr>
        <w:t xml:space="preserve"> м</w:t>
      </w:r>
      <w:r w:rsidR="00EB6084" w:rsidRPr="00F6199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</w:t>
      </w:r>
      <w:r w:rsidR="00F61992">
        <w:rPr>
          <w:rFonts w:ascii="Times New Roman" w:hAnsi="Times New Roman" w:cs="Times New Roman"/>
          <w:sz w:val="24"/>
          <w:szCs w:val="24"/>
        </w:rPr>
        <w:t xml:space="preserve">» </w:t>
      </w:r>
      <w:r w:rsidRPr="00F61992">
        <w:rPr>
          <w:rFonts w:ascii="Times New Roman" w:hAnsi="Times New Roman" w:cs="Times New Roman"/>
          <w:sz w:val="24"/>
          <w:szCs w:val="24"/>
        </w:rPr>
        <w:t>в части учета бюджетных и денежных обязательст</w:t>
      </w:r>
      <w:r w:rsidR="00E8138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F3BB2">
        <w:rPr>
          <w:rFonts w:ascii="Times New Roman" w:hAnsi="Times New Roman" w:cs="Times New Roman"/>
          <w:sz w:val="24"/>
          <w:szCs w:val="24"/>
        </w:rPr>
        <w:t>м</w:t>
      </w:r>
      <w:r w:rsidR="00EB6084" w:rsidRPr="00F6199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619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6199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F6199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61992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9E5EF3" w:rsidRPr="00F61992" w:rsidRDefault="00BE4BB1" w:rsidP="00E813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</w:t>
      </w:r>
      <w:r w:rsidR="00E81381" w:rsidRPr="00F61992">
        <w:rPr>
          <w:rFonts w:ascii="Times New Roman" w:hAnsi="Times New Roman" w:cs="Times New Roman"/>
          <w:sz w:val="24"/>
          <w:szCs w:val="24"/>
        </w:rPr>
        <w:t>на начальника отдела казначейского бюджета и бюджетного учета Н.Ю. Малышеву</w:t>
      </w:r>
      <w:r w:rsidR="00F20E66" w:rsidRPr="00F61992">
        <w:rPr>
          <w:rFonts w:ascii="Times New Roman" w:hAnsi="Times New Roman" w:cs="Times New Roman"/>
          <w:sz w:val="24"/>
          <w:szCs w:val="24"/>
        </w:rPr>
        <w:t>.</w:t>
      </w:r>
    </w:p>
    <w:p w:rsidR="00F20E66" w:rsidRPr="00F61992" w:rsidRDefault="00F20E66" w:rsidP="00E813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3. Рекомендовать </w:t>
      </w:r>
      <w:r w:rsidR="00E84EC8">
        <w:rPr>
          <w:rFonts w:ascii="Times New Roman" w:hAnsi="Times New Roman" w:cs="Times New Roman"/>
          <w:sz w:val="24"/>
          <w:szCs w:val="24"/>
        </w:rPr>
        <w:t>администрациям сельских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посе</w:t>
      </w:r>
      <w:r w:rsidR="00E84EC8">
        <w:rPr>
          <w:rFonts w:ascii="Times New Roman" w:hAnsi="Times New Roman" w:cs="Times New Roman"/>
          <w:sz w:val="24"/>
          <w:szCs w:val="24"/>
        </w:rPr>
        <w:t>лений</w:t>
      </w:r>
      <w:r w:rsidRPr="00F61992">
        <w:rPr>
          <w:rFonts w:ascii="Times New Roman" w:hAnsi="Times New Roman" w:cs="Times New Roman"/>
          <w:sz w:val="24"/>
          <w:szCs w:val="24"/>
        </w:rPr>
        <w:t xml:space="preserve"> Каргасокского района разработать</w:t>
      </w:r>
      <w:r w:rsidR="00E84EC8">
        <w:rPr>
          <w:rFonts w:ascii="Times New Roman" w:hAnsi="Times New Roman" w:cs="Times New Roman"/>
          <w:sz w:val="24"/>
          <w:szCs w:val="24"/>
        </w:rPr>
        <w:t xml:space="preserve"> и утвердить</w:t>
      </w:r>
      <w:r w:rsidRPr="00F61992">
        <w:rPr>
          <w:rFonts w:ascii="Times New Roman" w:hAnsi="Times New Roman" w:cs="Times New Roman"/>
          <w:sz w:val="24"/>
          <w:szCs w:val="24"/>
        </w:rPr>
        <w:t xml:space="preserve"> аналогичные порядки.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E66" w:rsidRDefault="00F20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994" w:rsidRPr="00F61992" w:rsidRDefault="009F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E66" w:rsidRPr="00F61992" w:rsidRDefault="00F20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E66" w:rsidRPr="00F61992" w:rsidRDefault="00F20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381" w:rsidRPr="00F61992" w:rsidRDefault="00E81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381" w:rsidRPr="00F61992" w:rsidRDefault="00E81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Т.В. </w:t>
      </w:r>
      <w:proofErr w:type="spellStart"/>
      <w:r w:rsidRPr="00F61992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Default="009E5EF3">
      <w:pPr>
        <w:pStyle w:val="ConsPlusNormal"/>
        <w:jc w:val="both"/>
        <w:rPr>
          <w:sz w:val="24"/>
          <w:szCs w:val="24"/>
        </w:rPr>
      </w:pPr>
    </w:p>
    <w:p w:rsidR="009F4994" w:rsidRDefault="009F4994">
      <w:pPr>
        <w:pStyle w:val="ConsPlusNormal"/>
        <w:jc w:val="both"/>
        <w:rPr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приказом</w:t>
      </w:r>
    </w:p>
    <w:p w:rsidR="009E5EF3" w:rsidRPr="00F61992" w:rsidRDefault="00E81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от </w:t>
      </w:r>
      <w:r w:rsidR="000909AC">
        <w:rPr>
          <w:rFonts w:ascii="Times New Roman" w:hAnsi="Times New Roman" w:cs="Times New Roman"/>
          <w:sz w:val="24"/>
          <w:szCs w:val="24"/>
        </w:rPr>
        <w:t>13</w:t>
      </w:r>
      <w:r w:rsidRPr="00F61992">
        <w:rPr>
          <w:rFonts w:ascii="Times New Roman" w:hAnsi="Times New Roman" w:cs="Times New Roman"/>
          <w:sz w:val="24"/>
          <w:szCs w:val="24"/>
        </w:rPr>
        <w:t>.</w:t>
      </w:r>
      <w:r w:rsidR="003050CF">
        <w:rPr>
          <w:rFonts w:ascii="Times New Roman" w:hAnsi="Times New Roman" w:cs="Times New Roman"/>
          <w:sz w:val="24"/>
          <w:szCs w:val="24"/>
        </w:rPr>
        <w:t>03.2018</w:t>
      </w:r>
      <w:r w:rsidR="00D517AD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 w:rsidR="000909AC">
        <w:rPr>
          <w:rFonts w:ascii="Times New Roman" w:hAnsi="Times New Roman" w:cs="Times New Roman"/>
          <w:sz w:val="24"/>
          <w:szCs w:val="24"/>
        </w:rPr>
        <w:t>5</w:t>
      </w:r>
      <w:r w:rsidR="003050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5EF3" w:rsidRPr="00F61992" w:rsidRDefault="009E5EF3" w:rsidP="00EB60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 w:rsidP="00EB60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F61992">
        <w:rPr>
          <w:rFonts w:ascii="Times New Roman" w:hAnsi="Times New Roman" w:cs="Times New Roman"/>
          <w:sz w:val="24"/>
          <w:szCs w:val="24"/>
        </w:rPr>
        <w:t>ПОРЯДОК</w:t>
      </w:r>
    </w:p>
    <w:p w:rsidR="009E5EF3" w:rsidRPr="00324F5D" w:rsidRDefault="00E77C71" w:rsidP="00324F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ЧАСТИ УЧЕТА БЮДЖЕТНЫХ И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ДЕНЕЖНЫХ ОБЯЗАТЕЛЬСТВ ПОЛУЧАТЕЛЕЙ СРЕДСТВ</w:t>
      </w:r>
      <w:r w:rsidR="00324F5D">
        <w:rPr>
          <w:rFonts w:ascii="Times New Roman" w:hAnsi="Times New Roman" w:cs="Times New Roman"/>
          <w:sz w:val="24"/>
          <w:szCs w:val="24"/>
        </w:rPr>
        <w:t xml:space="preserve"> </w:t>
      </w:r>
      <w:r w:rsidR="00EB6084" w:rsidRPr="00324F5D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</w:p>
    <w:p w:rsidR="00EB6084" w:rsidRPr="00F61992" w:rsidRDefault="00EB6084" w:rsidP="00EB60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EF3" w:rsidRPr="00F61992" w:rsidRDefault="009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1. Настоящий Порядок устанавливает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процедуру исполнения </w:t>
      </w:r>
      <w:r w:rsidR="009F4994">
        <w:rPr>
          <w:rFonts w:ascii="Times New Roman" w:hAnsi="Times New Roman" w:cs="Times New Roman"/>
          <w:sz w:val="24"/>
          <w:szCs w:val="24"/>
        </w:rPr>
        <w:t>бюджета М</w:t>
      </w:r>
      <w:r w:rsidR="00EB6084" w:rsidRPr="00F6199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9F4994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F61992" w:rsidRPr="00F61992">
        <w:rPr>
          <w:rFonts w:ascii="Times New Roman" w:hAnsi="Times New Roman" w:cs="Times New Roman"/>
          <w:sz w:val="24"/>
          <w:szCs w:val="24"/>
        </w:rPr>
        <w:t xml:space="preserve">(далее – бюджет муниципального образования)  </w:t>
      </w:r>
      <w:r w:rsidRPr="00F61992">
        <w:rPr>
          <w:rFonts w:ascii="Times New Roman" w:hAnsi="Times New Roman" w:cs="Times New Roman"/>
          <w:sz w:val="24"/>
          <w:szCs w:val="24"/>
        </w:rPr>
        <w:t>в части учета бюджетных и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F61992">
        <w:rPr>
          <w:rFonts w:ascii="Times New Roman" w:hAnsi="Times New Roman" w:cs="Times New Roman"/>
          <w:sz w:val="24"/>
          <w:szCs w:val="24"/>
        </w:rPr>
        <w:t>, а также виды документов, подтверждающих возникновение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9F4994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2. Учету подлежат бюджетные и денежные обязательства, принимаемые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>(далее - бюджетополучатели)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 xml:space="preserve"> в 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соответствии с муниципальными </w:t>
      </w:r>
      <w:r w:rsidRPr="00F61992">
        <w:rPr>
          <w:rFonts w:ascii="Times New Roman" w:hAnsi="Times New Roman" w:cs="Times New Roman"/>
          <w:sz w:val="24"/>
          <w:szCs w:val="24"/>
        </w:rPr>
        <w:t>контрактами, иными договорами (соглашениями), заключенными с физическими, юридическими лицами и индивидуальными предпринимателями</w:t>
      </w:r>
      <w:r w:rsidR="00D517AD" w:rsidRPr="00F61992">
        <w:rPr>
          <w:rFonts w:ascii="Times New Roman" w:hAnsi="Times New Roman" w:cs="Times New Roman"/>
          <w:sz w:val="24"/>
          <w:szCs w:val="24"/>
        </w:rPr>
        <w:t xml:space="preserve">, или в соответствии с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 нормативными правовыми  актами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236A3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36A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(далее - документ-основание).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3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обязательствам, возникшим:</w:t>
      </w:r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1)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</w:t>
      </w:r>
      <w:r w:rsidRPr="00F61992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муниципальных нужд реестр контрактов или реестр контрактов, содержащий сведения, составляющие государственную тайну (далее - реестры контрактов);</w:t>
      </w:r>
      <w:proofErr w:type="gramEnd"/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F61992">
        <w:rPr>
          <w:rFonts w:ascii="Times New Roman" w:hAnsi="Times New Roman" w:cs="Times New Roman"/>
          <w:sz w:val="24"/>
          <w:szCs w:val="24"/>
        </w:rPr>
        <w:t>3) из договора (соглашения) о предоставлении субсидии юридическому лицу (</w:t>
      </w:r>
      <w:r w:rsidR="00507FE9" w:rsidRPr="00F61992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муниципальных учреждений), индивидуальному предпринимателю или физическому лицу - производителю товаров, работ, услуг, заключенного в соответствии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 Российской Федерации, Томской области,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236A3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36A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или договора (соглашения), заключенного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</w:r>
      <w:r w:rsidR="00F76F93" w:rsidRPr="00F61992">
        <w:rPr>
          <w:rFonts w:ascii="Times New Roman" w:hAnsi="Times New Roman" w:cs="Times New Roman"/>
          <w:sz w:val="24"/>
          <w:szCs w:val="24"/>
        </w:rPr>
        <w:t>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236A3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36A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4) из соглашения о 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="00F76F93" w:rsidRPr="00F61992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финансовое обеспеч</w:t>
      </w:r>
      <w:r w:rsidR="003467CD" w:rsidRPr="00F61992">
        <w:rPr>
          <w:rFonts w:ascii="Times New Roman" w:hAnsi="Times New Roman" w:cs="Times New Roman"/>
          <w:sz w:val="24"/>
          <w:szCs w:val="24"/>
        </w:rPr>
        <w:t>ение выполнения муницип</w:t>
      </w:r>
      <w:r w:rsidR="00F76F93" w:rsidRPr="00F61992">
        <w:rPr>
          <w:rFonts w:ascii="Times New Roman" w:hAnsi="Times New Roman" w:cs="Times New Roman"/>
          <w:sz w:val="24"/>
          <w:szCs w:val="24"/>
        </w:rPr>
        <w:t>ального</w:t>
      </w:r>
      <w:r w:rsidRPr="00F61992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5) из соглашения о порядке и услов</w:t>
      </w:r>
      <w:r w:rsidR="00F76F93" w:rsidRPr="00F61992">
        <w:rPr>
          <w:rFonts w:ascii="Times New Roman" w:hAnsi="Times New Roman" w:cs="Times New Roman"/>
          <w:sz w:val="24"/>
          <w:szCs w:val="24"/>
        </w:rPr>
        <w:t>иях предоставлен</w:t>
      </w:r>
      <w:r w:rsidR="00BE4BB1" w:rsidRPr="00F61992">
        <w:rPr>
          <w:rFonts w:ascii="Times New Roman" w:hAnsi="Times New Roman" w:cs="Times New Roman"/>
          <w:sz w:val="24"/>
          <w:szCs w:val="24"/>
        </w:rPr>
        <w:t>ия из</w:t>
      </w:r>
      <w:r w:rsidR="009F4994">
        <w:rPr>
          <w:rFonts w:ascii="Times New Roman" w:hAnsi="Times New Roman" w:cs="Times New Roman"/>
          <w:sz w:val="24"/>
          <w:szCs w:val="24"/>
        </w:rPr>
        <w:t xml:space="preserve">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F4994" w:rsidRPr="00F61992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F76F93" w:rsidRPr="00F61992">
        <w:rPr>
          <w:rFonts w:ascii="Times New Roman" w:hAnsi="Times New Roman" w:cs="Times New Roman"/>
          <w:sz w:val="24"/>
          <w:szCs w:val="24"/>
        </w:rPr>
        <w:t>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иные цели;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6) из нормативног</w:t>
      </w:r>
      <w:r w:rsidR="00E84EC8">
        <w:rPr>
          <w:rFonts w:ascii="Times New Roman" w:hAnsi="Times New Roman" w:cs="Times New Roman"/>
          <w:sz w:val="24"/>
          <w:szCs w:val="24"/>
        </w:rPr>
        <w:t>о правового акта м</w:t>
      </w:r>
      <w:r w:rsidR="00F76F93" w:rsidRPr="00F6199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 w:rsidRPr="00F61992">
        <w:rPr>
          <w:rFonts w:ascii="Times New Roman" w:hAnsi="Times New Roman" w:cs="Times New Roman"/>
          <w:sz w:val="24"/>
          <w:szCs w:val="24"/>
        </w:rPr>
        <w:t>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7) из соглашени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я о предоставлении из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>бюджету сельского поселения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</w:t>
      </w:r>
      <w:r w:rsidR="00E84EC8">
        <w:rPr>
          <w:rFonts w:ascii="Times New Roman" w:hAnsi="Times New Roman" w:cs="Times New Roman"/>
          <w:sz w:val="24"/>
          <w:szCs w:val="24"/>
        </w:rPr>
        <w:t xml:space="preserve">  в форме иных межбюджетных трансфертов</w:t>
      </w:r>
      <w:r w:rsidR="00236A39">
        <w:rPr>
          <w:rFonts w:ascii="Times New Roman" w:hAnsi="Times New Roman" w:cs="Times New Roman"/>
          <w:sz w:val="24"/>
          <w:szCs w:val="24"/>
        </w:rPr>
        <w:t xml:space="preserve"> или дотации на сбалансированность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) из исполнительных документов (исполнительного листа, судебного приказа), судебных актов, актов других органов и должностных лиц по делам об административных правонарушениях, решений налоговых органов о взыскании налога, сбора, страхового взноса, пеней и штрафов, предусматривающих обращение </w:t>
      </w:r>
      <w:r w:rsidRPr="00F61992">
        <w:rPr>
          <w:rFonts w:ascii="Times New Roman" w:hAnsi="Times New Roman" w:cs="Times New Roman"/>
          <w:sz w:val="24"/>
          <w:szCs w:val="24"/>
        </w:rPr>
        <w:t xml:space="preserve">взыскания на средства </w:t>
      </w:r>
      <w:r w:rsidR="009F499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F4994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</w:t>
      </w:r>
      <w:r w:rsidRPr="00F61992">
        <w:rPr>
          <w:rFonts w:ascii="Times New Roman" w:hAnsi="Times New Roman" w:cs="Times New Roman"/>
          <w:sz w:val="24"/>
          <w:szCs w:val="24"/>
        </w:rPr>
        <w:t xml:space="preserve"> с нор</w:t>
      </w:r>
      <w:r w:rsidR="00E84EC8">
        <w:rPr>
          <w:rFonts w:ascii="Times New Roman" w:hAnsi="Times New Roman" w:cs="Times New Roman"/>
          <w:sz w:val="24"/>
          <w:szCs w:val="24"/>
        </w:rPr>
        <w:t>мативно правовыми актами 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236A3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36A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E5EF3" w:rsidRPr="00F61992">
        <w:rPr>
          <w:rFonts w:ascii="Times New Roman" w:hAnsi="Times New Roman" w:cs="Times New Roman"/>
          <w:sz w:val="24"/>
          <w:szCs w:val="24"/>
        </w:rPr>
        <w:t>, в том числе по публичным нормативным обязательствам, связанным с социальными вы</w:t>
      </w:r>
      <w:r w:rsidR="00BE4BB1" w:rsidRPr="00F61992">
        <w:rPr>
          <w:rFonts w:ascii="Times New Roman" w:hAnsi="Times New Roman" w:cs="Times New Roman"/>
          <w:sz w:val="24"/>
          <w:szCs w:val="24"/>
        </w:rPr>
        <w:t>платами населению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(за исключением нормативного правового акта о предоставлении субсидии юридическому лицу, нормативного правового акта о предоставлении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  или дотации на сбалансированность</w:t>
      </w:r>
      <w:r w:rsidR="009E5EF3" w:rsidRPr="00F61992">
        <w:rPr>
          <w:rFonts w:ascii="Times New Roman" w:hAnsi="Times New Roman" w:cs="Times New Roman"/>
          <w:sz w:val="24"/>
          <w:szCs w:val="24"/>
        </w:rPr>
        <w:t>);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 с договором на оказание услуг, выполнение работ, заключенным бюджетополучателем с физическим лицом, не являющимся индивидуальным предпринимателем;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F61992">
        <w:rPr>
          <w:rFonts w:ascii="Times New Roman" w:hAnsi="Times New Roman" w:cs="Times New Roman"/>
          <w:sz w:val="24"/>
          <w:szCs w:val="24"/>
        </w:rPr>
        <w:t>1</w:t>
      </w:r>
      <w:r w:rsidR="003467CD" w:rsidRPr="00F61992">
        <w:rPr>
          <w:rFonts w:ascii="Times New Roman" w:hAnsi="Times New Roman" w:cs="Times New Roman"/>
          <w:sz w:val="24"/>
          <w:szCs w:val="24"/>
        </w:rPr>
        <w:t>1</w:t>
      </w:r>
      <w:r w:rsidRPr="00F61992">
        <w:rPr>
          <w:rFonts w:ascii="Times New Roman" w:hAnsi="Times New Roman" w:cs="Times New Roman"/>
          <w:sz w:val="24"/>
          <w:szCs w:val="24"/>
        </w:rPr>
        <w:t>) в соответствии с договором, расчет по которому в соответствии с законодательством Российской Федерации осуществляется наличными деньгами.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1FA">
        <w:rPr>
          <w:rFonts w:ascii="Times New Roman" w:hAnsi="Times New Roman" w:cs="Times New Roman"/>
          <w:sz w:val="24"/>
          <w:szCs w:val="24"/>
        </w:rPr>
        <w:t>4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C351FA">
        <w:rPr>
          <w:rFonts w:ascii="Times New Roman" w:hAnsi="Times New Roman" w:cs="Times New Roman"/>
          <w:sz w:val="24"/>
          <w:szCs w:val="24"/>
        </w:rPr>
        <w:t>Постановка на учет бюджетного обязательства и внесение изменений в поставленное на учет бюджетное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обязательство осуществляются на основании документов, предусмотренных </w:t>
      </w:r>
      <w:hyperlink w:anchor="P87" w:history="1">
        <w:r w:rsidR="009E5EF3" w:rsidRPr="00C351FA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9E5EF3" w:rsidRPr="00C351FA">
        <w:rPr>
          <w:rFonts w:ascii="Times New Roman" w:hAnsi="Times New Roman" w:cs="Times New Roman"/>
          <w:sz w:val="24"/>
          <w:szCs w:val="24"/>
        </w:rPr>
        <w:t xml:space="preserve"> документов, на основании которых возникают бюджетные обязательства получателе</w:t>
      </w:r>
      <w:r w:rsidRPr="00C351FA">
        <w:rPr>
          <w:rFonts w:ascii="Times New Roman" w:hAnsi="Times New Roman" w:cs="Times New Roman"/>
          <w:sz w:val="24"/>
          <w:szCs w:val="24"/>
        </w:rPr>
        <w:t xml:space="preserve">й средств </w:t>
      </w:r>
      <w:r w:rsidR="009F4994" w:rsidRPr="00C351FA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9E5EF3" w:rsidRPr="00C351FA">
        <w:rPr>
          <w:rFonts w:ascii="Times New Roman" w:hAnsi="Times New Roman" w:cs="Times New Roman"/>
          <w:sz w:val="24"/>
          <w:szCs w:val="24"/>
        </w:rPr>
        <w:t>,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подтверждающих возникновение денежных обязательств получателей средств бюджета муниципального образования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 (далее - Перечень).</w:t>
      </w:r>
      <w:proofErr w:type="gramEnd"/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Принятие бюджетополучателями бюджетных обязательств, подлежащих испол</w:t>
      </w:r>
      <w:r w:rsidRPr="00F61992">
        <w:rPr>
          <w:rFonts w:ascii="Times New Roman" w:hAnsi="Times New Roman" w:cs="Times New Roman"/>
          <w:sz w:val="24"/>
          <w:szCs w:val="24"/>
        </w:rPr>
        <w:t xml:space="preserve">нению за счет средств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осуществляется в пределах доведенных им лимитов бюджетных обязательств по кодам бюджетной к</w:t>
      </w:r>
      <w:r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Исполнение бюджетных обязательств осуществляется на основании документов, подтверждающих возникновение денежных обязательств, указанных в </w:t>
      </w:r>
      <w:hyperlink w:anchor="P98" w:history="1"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Бюджетные </w:t>
      </w:r>
      <w:r w:rsidRPr="00F61992">
        <w:rPr>
          <w:rFonts w:ascii="Times New Roman" w:hAnsi="Times New Roman" w:cs="Times New Roman"/>
          <w:sz w:val="24"/>
          <w:szCs w:val="24"/>
        </w:rPr>
        <w:t>обязательства по муниципальным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контрактам (договорам), заключенным на срок, превышающий пределы текущего финансового года, подлежат первоочередному учету бюджетополучателем в очередном финансовом году за счет лимитов бюджетных обязательств очередного финансового года.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>. В случае уменьшения бюджетополучателю ранее доведенных лимитов бюджетных обязательств, приводящего к невозможности исполнения бюджетных обязательств, вытекающих и</w:t>
      </w:r>
      <w:r w:rsidRPr="00F61992">
        <w:rPr>
          <w:rFonts w:ascii="Times New Roman" w:hAnsi="Times New Roman" w:cs="Times New Roman"/>
          <w:sz w:val="24"/>
          <w:szCs w:val="24"/>
        </w:rPr>
        <w:t>з заключенных им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контрактов, иных договоров, </w:t>
      </w:r>
      <w:r w:rsidR="009E5EF3" w:rsidRPr="00F61992">
        <w:rPr>
          <w:rFonts w:ascii="Times New Roman" w:hAnsi="Times New Roman" w:cs="Times New Roman"/>
          <w:sz w:val="24"/>
          <w:szCs w:val="24"/>
        </w:rPr>
        <w:lastRenderedPageBreak/>
        <w:t>бюджетополучатель должен обеспечить: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а)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</w:t>
      </w:r>
      <w:r w:rsidR="003467CD" w:rsidRPr="00F61992">
        <w:rPr>
          <w:rFonts w:ascii="Times New Roman" w:hAnsi="Times New Roman" w:cs="Times New Roman"/>
          <w:sz w:val="24"/>
          <w:szCs w:val="24"/>
        </w:rPr>
        <w:t>жд новых условий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контрактов, в том числе по цене и (или) срокам их исполнения и (или) количеству (объему) товара (работы, услуги), иных договоров;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б) перерегистрацию бюджетных обязательств.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r w:rsidRPr="00F61992">
        <w:rPr>
          <w:rFonts w:ascii="Times New Roman" w:hAnsi="Times New Roman" w:cs="Times New Roman"/>
          <w:sz w:val="24"/>
          <w:szCs w:val="24"/>
        </w:rPr>
        <w:t>При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в случаях, установленных действующим законодательством, бюджетополучатель должен обеспечить перерегистрацию бюджетного обязательства на сумму и</w:t>
      </w:r>
      <w:r w:rsidRPr="00F61992">
        <w:rPr>
          <w:rFonts w:ascii="Times New Roman" w:hAnsi="Times New Roman" w:cs="Times New Roman"/>
          <w:sz w:val="24"/>
          <w:szCs w:val="24"/>
        </w:rPr>
        <w:t>сполнения по соответствующему муниципальному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контракту (договору) в течение 5 рабочих дней со дня заключения соглашени</w:t>
      </w:r>
      <w:r w:rsidRPr="00F61992">
        <w:rPr>
          <w:rFonts w:ascii="Times New Roman" w:hAnsi="Times New Roman" w:cs="Times New Roman"/>
          <w:sz w:val="24"/>
          <w:szCs w:val="24"/>
        </w:rPr>
        <w:t>я о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10. Если в одном муниципальном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контракте (договоре) предусматривается наличие бюджетных обязательств по нескольким кодам бюджетной классификации, то такие бюджетные обязательства учитываются раздельно с присвоением учетного номера каждому бюджетному обязательству.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11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Постановка</w:t>
      </w:r>
      <w:r w:rsidR="00072D7D">
        <w:rPr>
          <w:rFonts w:ascii="Times New Roman" w:hAnsi="Times New Roman" w:cs="Times New Roman"/>
          <w:sz w:val="24"/>
          <w:szCs w:val="24"/>
        </w:rPr>
        <w:t xml:space="preserve"> бюджетополучателем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 учет бюджетных обязательств (внесение изменений в поставленные на учет бюджетные обязательства), возникших на основании документов, указанных в </w:t>
      </w:r>
      <w:r w:rsidR="00072D7D">
        <w:rPr>
          <w:rFonts w:ascii="Times New Roman" w:hAnsi="Times New Roman" w:cs="Times New Roman"/>
          <w:sz w:val="24"/>
          <w:szCs w:val="24"/>
        </w:rPr>
        <w:t xml:space="preserve">подпунктах </w:t>
      </w:r>
      <w:hyperlink w:anchor="P45" w:history="1">
        <w:r w:rsidR="00BE4BB1" w:rsidRPr="00F61992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BE4BB1" w:rsidRPr="00F61992">
        <w:rPr>
          <w:rFonts w:ascii="Times New Roman" w:hAnsi="Times New Roman" w:cs="Times New Roman"/>
          <w:sz w:val="24"/>
          <w:szCs w:val="24"/>
        </w:rPr>
        <w:t>–</w:t>
      </w:r>
      <w:hyperlink w:anchor="P54" w:history="1">
        <w:r w:rsidR="00BE4BB1" w:rsidRPr="00F61992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BE4BB1" w:rsidRPr="00F61992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комплексной системе автоматизации исполнения бюджета и управления бюджетным процессом - Автоматизированный Центр Контроля исполнения бюджета "АЦК - Финансы" (далее - система "АЦК - Финансы") в течение 5 рабочих дней со дня их принятия с присвоением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уникального учетного номера бюджетного обязательства. Уникальный учетный номер бюджетного обязательства присваивается системой "АЦК - Финансы" автоматически.</w:t>
      </w:r>
    </w:p>
    <w:p w:rsidR="00FD6B52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12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Перерегистрация неисполненных бюджетных обязательств отчетного финансового года по направлениям расходов, </w:t>
      </w:r>
      <w:r w:rsidR="009E5EF3" w:rsidRPr="00072D7D">
        <w:rPr>
          <w:rFonts w:ascii="Times New Roman" w:hAnsi="Times New Roman" w:cs="Times New Roman"/>
          <w:sz w:val="24"/>
          <w:szCs w:val="24"/>
        </w:rPr>
        <w:t>указанны</w:t>
      </w:r>
      <w:r w:rsidR="009F3BB2">
        <w:rPr>
          <w:rFonts w:ascii="Times New Roman" w:hAnsi="Times New Roman" w:cs="Times New Roman"/>
          <w:sz w:val="24"/>
          <w:szCs w:val="24"/>
        </w:rPr>
        <w:t>м в р</w:t>
      </w:r>
      <w:r w:rsidR="00FD6B52" w:rsidRPr="00072D7D">
        <w:rPr>
          <w:rFonts w:ascii="Times New Roman" w:hAnsi="Times New Roman" w:cs="Times New Roman"/>
          <w:sz w:val="24"/>
          <w:szCs w:val="24"/>
        </w:rPr>
        <w:t>ешении Думы</w:t>
      </w:r>
      <w:r w:rsidR="00072D7D" w:rsidRPr="00072D7D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E84EC8">
        <w:rPr>
          <w:rFonts w:ascii="Times New Roman" w:hAnsi="Times New Roman" w:cs="Times New Roman"/>
          <w:sz w:val="24"/>
          <w:szCs w:val="24"/>
        </w:rPr>
        <w:t xml:space="preserve"> о бюджете м</w:t>
      </w:r>
      <w:r w:rsidR="00A3255C" w:rsidRPr="00072D7D">
        <w:rPr>
          <w:rFonts w:ascii="Times New Roman" w:hAnsi="Times New Roman" w:cs="Times New Roman"/>
          <w:sz w:val="24"/>
          <w:szCs w:val="24"/>
        </w:rPr>
        <w:t>униципального образования  «Каргасокский район»</w:t>
      </w:r>
      <w:r w:rsidR="00072D7D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период, осуществляется после увеличения бюджетных ассигнований текущего финансового года на основании представленно</w:t>
      </w:r>
      <w:r w:rsidR="00A3255C" w:rsidRPr="00F61992">
        <w:rPr>
          <w:rFonts w:ascii="Times New Roman" w:hAnsi="Times New Roman" w:cs="Times New Roman"/>
          <w:sz w:val="24"/>
          <w:szCs w:val="24"/>
        </w:rPr>
        <w:t>й в Управление финансов АКР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главными ра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спорядителями средств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34F8">
        <w:t xml:space="preserve"> </w:t>
      </w:r>
      <w:hyperlink w:anchor="P179" w:history="1">
        <w:r w:rsidR="00072D7D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нформации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об объеме неисполненных на начало текущего финансового года бюджетных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обязательств, в</w:t>
      </w:r>
      <w:r w:rsidR="00E84EC8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пределах которого могут быть увеличены бюджетные ассигн</w:t>
      </w:r>
      <w:r w:rsidRPr="00F61992">
        <w:rPr>
          <w:rFonts w:ascii="Times New Roman" w:hAnsi="Times New Roman" w:cs="Times New Roman"/>
          <w:sz w:val="24"/>
          <w:szCs w:val="24"/>
        </w:rPr>
        <w:t>ования на оплату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</w:t>
      </w:r>
      <w:r w:rsidR="00A3255C" w:rsidRPr="00F61992">
        <w:rPr>
          <w:rFonts w:ascii="Times New Roman" w:hAnsi="Times New Roman" w:cs="Times New Roman"/>
          <w:sz w:val="24"/>
          <w:szCs w:val="24"/>
        </w:rPr>
        <w:t>п</w:t>
      </w:r>
      <w:r w:rsidRPr="00F61992">
        <w:rPr>
          <w:rFonts w:ascii="Times New Roman" w:hAnsi="Times New Roman" w:cs="Times New Roman"/>
          <w:sz w:val="24"/>
          <w:szCs w:val="24"/>
        </w:rPr>
        <w:t>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по форме согласно приложению 2 к настоящему Порядку в срок не позднее 1 марта текущего финансового года.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14</w:t>
      </w:r>
      <w:r w:rsidR="009E5EF3" w:rsidRPr="00F61992">
        <w:rPr>
          <w:rFonts w:ascii="Times New Roman" w:hAnsi="Times New Roman" w:cs="Times New Roman"/>
          <w:sz w:val="24"/>
          <w:szCs w:val="24"/>
        </w:rPr>
        <w:t>. Если коды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, по которым бюджетное обязательство было поставлено на учет в отчетном финансовом году, в текущем финансовом году не применяются, то перерегистрация </w:t>
      </w:r>
      <w:r w:rsidR="009E5EF3" w:rsidRPr="00F61992">
        <w:rPr>
          <w:rFonts w:ascii="Times New Roman" w:hAnsi="Times New Roman" w:cs="Times New Roman"/>
          <w:sz w:val="24"/>
          <w:szCs w:val="24"/>
        </w:rPr>
        <w:lastRenderedPageBreak/>
        <w:t>бюджетного обязательства осуществляется по кодам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E34F8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применяемым в текущем финансовом году.</w:t>
      </w:r>
    </w:p>
    <w:p w:rsidR="009E5EF3" w:rsidRPr="00F61992" w:rsidRDefault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 реорганизации или ликвидации бюджетополучателя неисполненные бюджетные обязательства должны быть урегулированы правопреемником или главным р</w:t>
      </w:r>
      <w:r w:rsidRPr="00F61992">
        <w:rPr>
          <w:rFonts w:ascii="Times New Roman" w:hAnsi="Times New Roman" w:cs="Times New Roman"/>
          <w:sz w:val="24"/>
          <w:szCs w:val="24"/>
        </w:rPr>
        <w:t xml:space="preserve">аспорядителем средств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 xml:space="preserve">а 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9E5EF3" w:rsidRPr="00F61992" w:rsidRDefault="009F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Бюджетные обязательства, возникшие в соответствии с документами, предусмотренными </w:t>
      </w:r>
      <w:hyperlink w:anchor="P142" w:history="1"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пунктом 7 графы 2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Перечня, подлежат учету в срок, установленный бюджетным законодательством Российской Федерации для представления в установленном порядке бюджетополучателем - должником информации об источнике образования задолженности и кодах бюджетной классификации Российской Федерации, по которым должны быт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ь произведены расходы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>а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органа.</w:t>
      </w:r>
      <w:proofErr w:type="gramEnd"/>
    </w:p>
    <w:p w:rsidR="009E5EF3" w:rsidRPr="00F61992" w:rsidRDefault="009F3BB2" w:rsidP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является документ, подтверждающий исполнение исполнительного документа, решения налогового органа, документ об отсрочке, о рассрочке или об отложении исполнения судебных актов либо документ, отменяющий или приостанавливающий исполнение судебного акта, на основании которого выдан исполнительный документ, документ об отсрочке или рассрочке уплаты налога, сбора, пеней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>, штрафов.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Pr="00F61992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3B6E5D" w:rsidRDefault="00A3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</w:t>
      </w:r>
      <w:r w:rsidR="003B6E5D" w:rsidRPr="00F61992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9E5EF3" w:rsidRPr="00F61992" w:rsidRDefault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3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B6E5D" w:rsidRDefault="009E5EF3" w:rsidP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>в получателей средств</w:t>
      </w:r>
      <w:r w:rsidR="003B6E5D" w:rsidRPr="003B6E5D">
        <w:rPr>
          <w:rFonts w:ascii="Times New Roman" w:hAnsi="Times New Roman" w:cs="Times New Roman"/>
          <w:sz w:val="24"/>
          <w:szCs w:val="24"/>
        </w:rPr>
        <w:t xml:space="preserve"> 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r w:rsidR="003B6E5D" w:rsidRPr="00F6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5D" w:rsidRDefault="0003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3B6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E5EF3" w:rsidRPr="00F61992" w:rsidRDefault="00AA50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 приказом Управления финансов АКР</w:t>
      </w:r>
    </w:p>
    <w:p w:rsidR="009E5EF3" w:rsidRPr="00F61992" w:rsidRDefault="00782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FE6">
        <w:rPr>
          <w:rFonts w:ascii="Times New Roman" w:hAnsi="Times New Roman" w:cs="Times New Roman"/>
          <w:sz w:val="24"/>
          <w:szCs w:val="24"/>
        </w:rPr>
        <w:t>.03.2018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4FE6">
        <w:rPr>
          <w:rFonts w:ascii="Times New Roman" w:hAnsi="Times New Roman" w:cs="Times New Roman"/>
          <w:sz w:val="24"/>
          <w:szCs w:val="24"/>
        </w:rPr>
        <w:t xml:space="preserve"> 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F61992">
        <w:rPr>
          <w:rFonts w:ascii="Times New Roman" w:hAnsi="Times New Roman" w:cs="Times New Roman"/>
          <w:sz w:val="24"/>
          <w:szCs w:val="24"/>
        </w:rPr>
        <w:t>ПЕРЕЧЕНЬ</w:t>
      </w: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ОБЯЗАТЕЛЬСТВ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А ПОЛУЧАТЕЛЕЙ СРЕДСТВ </w:t>
      </w:r>
      <w:r w:rsidR="00AA5060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  <w:r w:rsidR="00AA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AA5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496"/>
        <w:gridCol w:w="5178"/>
      </w:tblGrid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96" w:type="dxa"/>
          </w:tcPr>
          <w:p w:rsidR="00AA5060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зательство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9E5EF3" w:rsidRPr="00F61992" w:rsidRDefault="00324F5D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</w:t>
            </w: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  <w:proofErr w:type="gramEnd"/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8"/>
            <w:bookmarkEnd w:id="4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vMerge w:val="restart"/>
          </w:tcPr>
          <w:p w:rsidR="009E5EF3" w:rsidRPr="00F61992" w:rsidRDefault="00A3255C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0"/>
            <w:bookmarkEnd w:id="5"/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азание услуг для муниципальных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подлежат включению в определенный 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или реестр контрактов, содержащий сведения, составляющие государственную тайну</w:t>
            </w:r>
            <w:proofErr w:type="gramEnd"/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A3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вии с условиями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 арендной платы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по муниципальному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7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8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</w:t>
            </w: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бюджетному обязательству,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возникшему на основании </w:t>
            </w:r>
            <w:proofErr w:type="spellStart"/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ипального</w:t>
            </w:r>
            <w:proofErr w:type="spellEnd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6" w:type="dxa"/>
            <w:vMerge w:val="restart"/>
          </w:tcPr>
          <w:p w:rsidR="009E5EF3" w:rsidRPr="00F61992" w:rsidRDefault="00442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2"/>
            <w:bookmarkEnd w:id="6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9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10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му на основании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3"/>
            <w:bookmarkEnd w:id="7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111AD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5178" w:type="dxa"/>
          </w:tcPr>
          <w:p w:rsidR="009E5EF3" w:rsidRPr="00F61992" w:rsidRDefault="0078263D" w:rsidP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vMerge w:val="restart"/>
          </w:tcPr>
          <w:p w:rsidR="009E5EF3" w:rsidRPr="00F61992" w:rsidRDefault="00111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учреждению по форме, установленной соглашением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 лицу - производителю товаров, работ, услуг, заключенный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proofErr w:type="gramEnd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физическому лицу - производителю товаров, работ, услуг, заключенный в соответствии с бюджетным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8263D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 органов местного самоуправления</w:t>
            </w:r>
            <w:proofErr w:type="gramEnd"/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договором (соглашением)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8"/>
            <w:bookmarkEnd w:id="8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</w:tcPr>
          <w:p w:rsidR="009E5EF3" w:rsidRPr="00F61992" w:rsidRDefault="000B4898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proofErr w:type="gram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ву получателя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ии нормативного правового акта органов местного самоуправления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юридическому лицу</w:t>
            </w:r>
          </w:p>
        </w:tc>
      </w:tr>
      <w:tr w:rsidR="0078263D" w:rsidRPr="00F61992" w:rsidTr="00AA5060">
        <w:tc>
          <w:tcPr>
            <w:tcW w:w="394" w:type="dxa"/>
          </w:tcPr>
          <w:p w:rsidR="0078263D" w:rsidRPr="00F61992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vMerge w:val="restart"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из бюджета муниципального образования межбюджетных трансфертов сельским поселениям Каргасокского </w:t>
            </w:r>
          </w:p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78263D" w:rsidRPr="00F61992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 о предоставлении из бюджета муниципального образования межбюджетных трансфертов сельским поселениям Каргасокского района</w:t>
            </w:r>
          </w:p>
          <w:p w:rsidR="0078263D" w:rsidRPr="003050CF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8263D" w:rsidRPr="00F61992" w:rsidTr="00AA5060">
        <w:tc>
          <w:tcPr>
            <w:tcW w:w="394" w:type="dxa"/>
            <w:vMerge w:val="restart"/>
          </w:tcPr>
          <w:p w:rsidR="0078263D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3D" w:rsidRPr="00F61992" w:rsidTr="00AA5060">
        <w:tc>
          <w:tcPr>
            <w:tcW w:w="394" w:type="dxa"/>
            <w:vMerge/>
          </w:tcPr>
          <w:p w:rsidR="0078263D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возникновение денежного обязательства (счет, акт выполненных работ, акт об оказании услуг, акт приема-передачи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C3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vMerge w:val="restart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2"/>
            <w:bookmarkEnd w:id="9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документы (исполнительный лист, судебный приказ),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страхового взноса, пеней и штрафов, предусматривающие обращение 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взыскания на средства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исполнительного документа, судебного акта, акта других органов и должностных лиц по делам об административных правонарушениях, решения налогового органа о взыскании налога, сбора, страхового взноса, пеней и штрафов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3050CF" w:rsidRDefault="00C3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C2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23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3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38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 том числе по публичным нормативным обязательствам, связанным с социальными выплатами населению, с предоставлением платежей, взносов;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 физическим лицом, не являющимся индивидуальным предпринимателем;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в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9E5EF3" w:rsidRPr="00F61992" w:rsidTr="00AA5060">
        <w:trPr>
          <w:trHeight w:val="435"/>
        </w:trPr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11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12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sectPr w:rsidR="009E5EF3" w:rsidRPr="00F61992" w:rsidSect="00236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C21731" w:rsidRDefault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C21731"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C217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C21731" w:rsidRPr="00F61992" w:rsidRDefault="009E5EF3" w:rsidP="00C217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</w:t>
      </w:r>
      <w:r w:rsidR="000B4898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</w:p>
    <w:p w:rsidR="00C21731" w:rsidRDefault="00C21731" w:rsidP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EF3" w:rsidRPr="00F61992" w:rsidRDefault="00C21731" w:rsidP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="000B4898" w:rsidRPr="00F61992">
        <w:rPr>
          <w:rFonts w:ascii="Times New Roman" w:hAnsi="Times New Roman" w:cs="Times New Roman"/>
          <w:sz w:val="24"/>
          <w:szCs w:val="24"/>
        </w:rPr>
        <w:t xml:space="preserve"> приказом Управления финансов АКР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от </w:t>
      </w:r>
      <w:r w:rsidR="000909AC">
        <w:rPr>
          <w:rFonts w:ascii="Times New Roman" w:hAnsi="Times New Roman" w:cs="Times New Roman"/>
          <w:sz w:val="24"/>
          <w:szCs w:val="24"/>
        </w:rPr>
        <w:t>13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  <w:r w:rsidR="005C4FE6">
        <w:rPr>
          <w:rFonts w:ascii="Times New Roman" w:hAnsi="Times New Roman" w:cs="Times New Roman"/>
          <w:sz w:val="24"/>
          <w:szCs w:val="24"/>
        </w:rPr>
        <w:t>03.2018</w:t>
      </w:r>
      <w:r w:rsidR="000B4898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 w:rsidR="000909AC">
        <w:rPr>
          <w:rFonts w:ascii="Times New Roman" w:hAnsi="Times New Roman" w:cs="Times New Roman"/>
          <w:sz w:val="24"/>
          <w:szCs w:val="24"/>
        </w:rPr>
        <w:t>5</w:t>
      </w:r>
      <w:r w:rsidR="005C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F61992">
        <w:rPr>
          <w:rFonts w:ascii="Times New Roman" w:hAnsi="Times New Roman" w:cs="Times New Roman"/>
          <w:sz w:val="24"/>
          <w:szCs w:val="24"/>
        </w:rPr>
        <w:t xml:space="preserve">Информация об объеме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неисполненных</w:t>
      </w:r>
      <w:proofErr w:type="gramEnd"/>
      <w:r w:rsidRPr="00F61992">
        <w:rPr>
          <w:rFonts w:ascii="Times New Roman" w:hAnsi="Times New Roman" w:cs="Times New Roman"/>
          <w:sz w:val="24"/>
          <w:szCs w:val="24"/>
        </w:rPr>
        <w:t xml:space="preserve"> на начало текущего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финансового года бюджетных обязательств, в пределах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которого могут быть увеличены бюджетные ассигнования</w:t>
      </w:r>
      <w:proofErr w:type="gramEnd"/>
    </w:p>
    <w:p w:rsidR="009E5EF3" w:rsidRPr="00F61992" w:rsidRDefault="000B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оплату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>контрактов на поставку товаров,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выполнение работ, ок</w:t>
      </w:r>
      <w:r w:rsidR="000B4898"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нужд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1 января 20___ г.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9E5EF3" w:rsidRPr="00F61992" w:rsidRDefault="00C217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9E5EF3" w:rsidRPr="00F61992">
        <w:rPr>
          <w:rFonts w:ascii="Times New Roman" w:hAnsi="Times New Roman" w:cs="Times New Roman"/>
          <w:sz w:val="24"/>
          <w:szCs w:val="24"/>
        </w:rPr>
        <w:t>)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8"/>
        <w:gridCol w:w="567"/>
        <w:gridCol w:w="709"/>
        <w:gridCol w:w="567"/>
        <w:gridCol w:w="567"/>
        <w:gridCol w:w="567"/>
        <w:gridCol w:w="850"/>
        <w:gridCol w:w="850"/>
        <w:gridCol w:w="567"/>
        <w:gridCol w:w="851"/>
        <w:gridCol w:w="850"/>
        <w:gridCol w:w="709"/>
        <w:gridCol w:w="709"/>
        <w:gridCol w:w="992"/>
        <w:gridCol w:w="992"/>
        <w:gridCol w:w="1134"/>
        <w:gridCol w:w="993"/>
        <w:gridCol w:w="1559"/>
      </w:tblGrid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Код по БК</w:t>
            </w:r>
          </w:p>
        </w:tc>
        <w:tc>
          <w:tcPr>
            <w:tcW w:w="850" w:type="dxa"/>
            <w:vMerge w:val="restart"/>
          </w:tcPr>
          <w:p w:rsid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Дата и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контракта</w:t>
            </w:r>
          </w:p>
        </w:tc>
        <w:tc>
          <w:tcPr>
            <w:tcW w:w="567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</w:p>
        </w:tc>
        <w:tc>
          <w:tcPr>
            <w:tcW w:w="851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Срок действия контракта (годы)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Пред-мет</w:t>
            </w:r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контракта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Общая сумма по контракту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Учетный номер бюджетного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Принятые на учет бюджетные обязательства в отчетном финансовом году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Исполненные бюджетные обязательства в отчетном финансовом году</w:t>
            </w:r>
          </w:p>
        </w:tc>
        <w:tc>
          <w:tcPr>
            <w:tcW w:w="1134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993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Неисполненные бюджетные обязательства отчетного финансового года (</w:t>
            </w:r>
            <w:hyperlink w:anchor="P224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14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hyperlink w:anchor="P225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15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Сумма, на которую могут быть увеличены бюджетные ассигнования в текущем финансовом году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КВСР</w:t>
            </w:r>
          </w:p>
        </w:tc>
        <w:tc>
          <w:tcPr>
            <w:tcW w:w="828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КФСР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КЦСР</w:t>
            </w:r>
          </w:p>
        </w:tc>
        <w:tc>
          <w:tcPr>
            <w:tcW w:w="709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567" w:type="dxa"/>
            <w:vAlign w:val="center"/>
          </w:tcPr>
          <w:p w:rsidR="006226A5" w:rsidRPr="006226A5" w:rsidRDefault="006226A5" w:rsidP="00732E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proofErr w:type="spellEnd"/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ФК</w:t>
            </w:r>
          </w:p>
        </w:tc>
        <w:tc>
          <w:tcPr>
            <w:tcW w:w="567" w:type="dxa"/>
            <w:vAlign w:val="center"/>
          </w:tcPr>
          <w:p w:rsidR="006226A5" w:rsidRPr="00E463CD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r w:rsidR="00801B45">
              <w:rPr>
                <w:rFonts w:ascii="Times New Roman" w:hAnsi="Times New Roman" w:cs="Times New Roman"/>
                <w:sz w:val="14"/>
                <w:szCs w:val="14"/>
              </w:rPr>
              <w:t>ЭК</w:t>
            </w:r>
            <w:bookmarkStart w:id="11" w:name="_GoBack"/>
            <w:bookmarkEnd w:id="11"/>
            <w:proofErr w:type="spellEnd"/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24"/>
            <w:bookmarkEnd w:id="12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F61992" w:rsidRDefault="006226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</w:t>
      </w:r>
      <w:r w:rsidR="000B4898" w:rsidRPr="00F61992"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</w:p>
    <w:p w:rsidR="009E5EF3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21731" w:rsidRPr="00F61992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99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(расшифровка подписи)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199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Исполнитель в организации     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Исп</w:t>
      </w:r>
      <w:r w:rsidR="000B4898" w:rsidRPr="00F61992">
        <w:rPr>
          <w:rFonts w:ascii="Times New Roman" w:hAnsi="Times New Roman" w:cs="Times New Roman"/>
          <w:sz w:val="24"/>
          <w:szCs w:val="24"/>
        </w:rPr>
        <w:t>олнитель в Управлении финансов АКР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  </w:t>
      </w:r>
      <w:r w:rsidR="00732EBA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(наименование должности)        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(наименование должности)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 _______________________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 ______________________</w:t>
      </w:r>
    </w:p>
    <w:p w:rsidR="009E5EF3" w:rsidRPr="00F61992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(расшифровка подписи)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"__" ________ 20__ г.   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      __ ________ 20__ г.</w:t>
      </w:r>
    </w:p>
    <w:p w:rsidR="009E5EF3" w:rsidRPr="00F61992" w:rsidRDefault="00732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303CD" w:rsidRPr="00F61992" w:rsidRDefault="00A303CD"/>
    <w:sectPr w:rsidR="00A303CD" w:rsidRPr="00F61992" w:rsidSect="00236A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F3"/>
    <w:rsid w:val="00034BBB"/>
    <w:rsid w:val="00072D7D"/>
    <w:rsid w:val="0007652B"/>
    <w:rsid w:val="000909AC"/>
    <w:rsid w:val="000B4898"/>
    <w:rsid w:val="000E34F8"/>
    <w:rsid w:val="00111AD2"/>
    <w:rsid w:val="001A2E86"/>
    <w:rsid w:val="001C68A5"/>
    <w:rsid w:val="001D4D07"/>
    <w:rsid w:val="001E686B"/>
    <w:rsid w:val="00236A39"/>
    <w:rsid w:val="002A2036"/>
    <w:rsid w:val="003050CF"/>
    <w:rsid w:val="00324F5D"/>
    <w:rsid w:val="003467CD"/>
    <w:rsid w:val="003A4F3F"/>
    <w:rsid w:val="003B6E5D"/>
    <w:rsid w:val="00412A92"/>
    <w:rsid w:val="00421545"/>
    <w:rsid w:val="00431194"/>
    <w:rsid w:val="00442C2B"/>
    <w:rsid w:val="004967F9"/>
    <w:rsid w:val="00507FE9"/>
    <w:rsid w:val="005A1C14"/>
    <w:rsid w:val="005C4FE6"/>
    <w:rsid w:val="006226A5"/>
    <w:rsid w:val="0063004D"/>
    <w:rsid w:val="006A54A0"/>
    <w:rsid w:val="006C50C4"/>
    <w:rsid w:val="00732EBA"/>
    <w:rsid w:val="0078263D"/>
    <w:rsid w:val="00801B45"/>
    <w:rsid w:val="0089643C"/>
    <w:rsid w:val="009042E2"/>
    <w:rsid w:val="00992AAF"/>
    <w:rsid w:val="009E3627"/>
    <w:rsid w:val="009E5EF3"/>
    <w:rsid w:val="009F3BB2"/>
    <w:rsid w:val="009F4994"/>
    <w:rsid w:val="00A303CD"/>
    <w:rsid w:val="00A3255C"/>
    <w:rsid w:val="00A85F1B"/>
    <w:rsid w:val="00AA5060"/>
    <w:rsid w:val="00B37132"/>
    <w:rsid w:val="00BC4302"/>
    <w:rsid w:val="00BE4BB1"/>
    <w:rsid w:val="00BF2987"/>
    <w:rsid w:val="00C21731"/>
    <w:rsid w:val="00C351FA"/>
    <w:rsid w:val="00C45BE2"/>
    <w:rsid w:val="00CD79C3"/>
    <w:rsid w:val="00D517AD"/>
    <w:rsid w:val="00DE679E"/>
    <w:rsid w:val="00E463CD"/>
    <w:rsid w:val="00E77C71"/>
    <w:rsid w:val="00E81381"/>
    <w:rsid w:val="00E84EC8"/>
    <w:rsid w:val="00EB6084"/>
    <w:rsid w:val="00EE6307"/>
    <w:rsid w:val="00F20E66"/>
    <w:rsid w:val="00F61992"/>
    <w:rsid w:val="00F76F93"/>
    <w:rsid w:val="00FD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DF92271C054ED9E87667CAB2A968E1567A67D31CB5DEA49m0h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E1345C8A0670401FACD6068A0CD9EE5DFD227DCE5DB0948F3F70A92D99D10260EF7130CA5BEDm4hCH" TargetMode="External"/><Relationship Id="rId12" Type="http://schemas.openxmlformats.org/officeDocument/2006/relationships/hyperlink" Target="consultantplus://offline/ref=2FE1345C8A0670401FACD6068A0CD9EE5DF92271C054ED9E87667CAB2A968E1567A67D31CB5DEA49m0h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70401FACD6068A0CD9EE5DF92375C15EED9E87667CAB2A968E1567A67D33CD58mEhEH" TargetMode="External"/><Relationship Id="rId11" Type="http://schemas.openxmlformats.org/officeDocument/2006/relationships/hyperlink" Target="consultantplus://offline/ref=2FE1345C8A0670401FACD6068A0CD9EE5DFD227DCE5DB0948F3F70A92D99D10260EF7130CA5BEDm4h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E1345C8A0670401FACD6068A0CD9EE5DF92271C054ED9E87667CAB2A968E1567A67D31CB5DEA49m0h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1345C8A0670401FACD6068A0CD9EE5DFD227DCE5DB0948F3F70A92D99D10260EF7130CA5BEDm4h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670F-C85E-4347-BAA3-DF2DDC6E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</dc:creator>
  <cp:lastModifiedBy>Наталья Ю. Малышева</cp:lastModifiedBy>
  <cp:revision>14</cp:revision>
  <cp:lastPrinted>2018-03-15T03:44:00Z</cp:lastPrinted>
  <dcterms:created xsi:type="dcterms:W3CDTF">2018-02-26T09:44:00Z</dcterms:created>
  <dcterms:modified xsi:type="dcterms:W3CDTF">2018-03-15T03:55:00Z</dcterms:modified>
</cp:coreProperties>
</file>