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16" w:rsidRDefault="00947916" w:rsidP="00947916">
      <w:pPr>
        <w:ind w:firstLine="567"/>
        <w:jc w:val="center"/>
      </w:pPr>
      <w:r>
        <w:t>Орган муниципального финансового контроля</w:t>
      </w:r>
    </w:p>
    <w:p w:rsidR="00947916" w:rsidRDefault="00947916" w:rsidP="00947916">
      <w:pPr>
        <w:ind w:firstLine="567"/>
        <w:jc w:val="center"/>
      </w:pPr>
      <w:r>
        <w:t>Каргасокского района</w:t>
      </w:r>
    </w:p>
    <w:p w:rsidR="00947916" w:rsidRDefault="00947916" w:rsidP="00947916">
      <w:pPr>
        <w:ind w:firstLine="567"/>
        <w:jc w:val="both"/>
      </w:pPr>
    </w:p>
    <w:p w:rsidR="00947916" w:rsidRDefault="00947916" w:rsidP="00947916">
      <w:pPr>
        <w:ind w:firstLine="567"/>
        <w:jc w:val="both"/>
      </w:pPr>
      <w:r>
        <w:t>с. Каргасок                                                                                                        30.12.2016</w:t>
      </w:r>
    </w:p>
    <w:p w:rsidR="00947916" w:rsidRDefault="00947916" w:rsidP="0094791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947916" w:rsidTr="00947916">
        <w:tc>
          <w:tcPr>
            <w:tcW w:w="6363" w:type="dxa"/>
            <w:hideMark/>
          </w:tcPr>
          <w:p w:rsidR="00947916" w:rsidRDefault="00947916" w:rsidP="00947916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10.</w:t>
            </w:r>
          </w:p>
        </w:tc>
        <w:tc>
          <w:tcPr>
            <w:tcW w:w="3039" w:type="dxa"/>
          </w:tcPr>
          <w:p w:rsidR="00947916" w:rsidRDefault="00947916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947916" w:rsidRDefault="00947916" w:rsidP="00947916">
      <w:pPr>
        <w:ind w:firstLine="567"/>
        <w:jc w:val="both"/>
      </w:pPr>
    </w:p>
    <w:p w:rsidR="000A1C59" w:rsidRDefault="00947916" w:rsidP="00947916">
      <w:pPr>
        <w:ind w:firstLine="567"/>
        <w:jc w:val="both"/>
      </w:pPr>
      <w:proofErr w:type="gramStart"/>
      <w:r>
        <w:t xml:space="preserve">На основании распоряжения председателя Контрольного органа Каргасокского района от </w:t>
      </w:r>
      <w:r w:rsidR="00BD10CD">
        <w:t>23</w:t>
      </w:r>
      <w:r w:rsidR="00BD10CD" w:rsidRPr="000F5B7A">
        <w:t>.</w:t>
      </w:r>
      <w:r w:rsidR="00BD10CD">
        <w:t>11</w:t>
      </w:r>
      <w:r w:rsidR="00BD10CD" w:rsidRPr="000F5B7A">
        <w:t>.201</w:t>
      </w:r>
      <w:r w:rsidR="00BD10CD">
        <w:t xml:space="preserve">6 </w:t>
      </w:r>
      <w:r w:rsidR="00BD10CD" w:rsidRPr="000F5B7A">
        <w:t xml:space="preserve">№ </w:t>
      </w:r>
      <w:r w:rsidR="00BD10CD">
        <w:t>13</w:t>
      </w:r>
      <w:r w:rsidR="000A1C59">
        <w:t xml:space="preserve"> </w:t>
      </w:r>
      <w:r>
        <w:t>и пункта 1.</w:t>
      </w:r>
      <w:r w:rsidR="000A1C59">
        <w:t>9</w:t>
      </w:r>
      <w:r>
        <w:t xml:space="preserve"> плана работы на 2016 год, утверждённого председателем Контрольного органа Каргасокского района 30.12.2015 на основании распоряжения от 24.11.2015 № 22, проведено контрольное мероприятие </w:t>
      </w:r>
      <w:r w:rsidR="000A1C59">
        <w:t>«П</w:t>
      </w:r>
      <w:r w:rsidR="000A1C59" w:rsidRPr="008B0192">
        <w:t>роверк</w:t>
      </w:r>
      <w:r w:rsidR="000A1C59">
        <w:t>а</w:t>
      </w:r>
      <w:r w:rsidR="000A1C59" w:rsidRPr="008B0192">
        <w:t xml:space="preserve"> </w:t>
      </w:r>
      <w:r w:rsidR="000A1C59">
        <w:t>Муниципального бюджетного учреждения культуры «Каргасокская центральная районная библиотека» на соответствие её деятельности Федеральному закону РФ от 12.01.1996 № 7-ФЗ «О некоммерческих организациях».</w:t>
      </w:r>
      <w:proofErr w:type="gramEnd"/>
    </w:p>
    <w:p w:rsidR="00947916" w:rsidRDefault="00947916" w:rsidP="00947916">
      <w:pPr>
        <w:ind w:firstLine="567"/>
        <w:jc w:val="both"/>
      </w:pPr>
      <w:r>
        <w:t xml:space="preserve">Срок проведения мероприятия: </w:t>
      </w:r>
      <w:r w:rsidR="000A1C59" w:rsidRPr="000A1C59">
        <w:rPr>
          <w:b/>
        </w:rPr>
        <w:t>с 28.11.2016 по 28.12.2016</w:t>
      </w:r>
      <w:r>
        <w:t xml:space="preserve">, проверяемым периодом являлся </w:t>
      </w:r>
      <w:r>
        <w:rPr>
          <w:b/>
        </w:rPr>
        <w:t>2015 год</w:t>
      </w:r>
      <w:r>
        <w:t>.</w:t>
      </w:r>
    </w:p>
    <w:p w:rsidR="00947916" w:rsidRDefault="00947916" w:rsidP="00947916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>от 2</w:t>
      </w:r>
      <w:r w:rsidR="000A1C59">
        <w:rPr>
          <w:b/>
        </w:rPr>
        <w:t>6</w:t>
      </w:r>
      <w:r>
        <w:rPr>
          <w:b/>
        </w:rPr>
        <w:t>.</w:t>
      </w:r>
      <w:r w:rsidR="000A1C59">
        <w:rPr>
          <w:b/>
        </w:rPr>
        <w:t>12</w:t>
      </w:r>
      <w:r>
        <w:rPr>
          <w:b/>
        </w:rPr>
        <w:t xml:space="preserve">.2016 № </w:t>
      </w:r>
      <w:r w:rsidR="000A1C59">
        <w:rPr>
          <w:b/>
        </w:rPr>
        <w:t>5</w:t>
      </w:r>
      <w:r>
        <w:t>.</w:t>
      </w:r>
    </w:p>
    <w:p w:rsidR="00947916" w:rsidRDefault="00947916" w:rsidP="00947916">
      <w:pPr>
        <w:ind w:firstLine="567"/>
        <w:jc w:val="both"/>
      </w:pPr>
    </w:p>
    <w:p w:rsidR="00903EFD" w:rsidRDefault="00903EFD" w:rsidP="00903EFD">
      <w:pPr>
        <w:ind w:firstLine="567"/>
        <w:jc w:val="both"/>
      </w:pPr>
      <w:r>
        <w:t>Используемые в информации сокращения:</w:t>
      </w:r>
    </w:p>
    <w:p w:rsidR="00903EFD" w:rsidRDefault="00903EFD" w:rsidP="00947916">
      <w:pPr>
        <w:ind w:firstLine="567"/>
        <w:jc w:val="both"/>
      </w:pPr>
      <w:r>
        <w:t xml:space="preserve">Постановление АКР от 15.03.2011 </w:t>
      </w:r>
      <w:r w:rsidRPr="008A7BEC">
        <w:t>№ 60</w:t>
      </w:r>
      <w:r>
        <w:t xml:space="preserve"> - Постановление Администрации Каргасокского района от 15.03.2011 </w:t>
      </w:r>
      <w:r w:rsidRPr="00903EFD">
        <w:t>№ 60</w:t>
      </w:r>
      <w:r>
        <w:t xml:space="preserve"> «</w:t>
      </w:r>
      <w:r w:rsidRPr="0095115A">
        <w:t xml:space="preserve">Об утверждении порядка создания, реорганизации, изменения типа и ликвидации муниципальных </w:t>
      </w:r>
      <w:r w:rsidRPr="0095115A">
        <w:rPr>
          <w:b/>
        </w:rPr>
        <w:t xml:space="preserve">бюджетных, </w:t>
      </w:r>
      <w:r w:rsidRPr="002646D0">
        <w:t>казенных, автономных</w:t>
      </w:r>
      <w:r w:rsidRPr="0095115A">
        <w:rPr>
          <w:b/>
        </w:rPr>
        <w:t xml:space="preserve"> </w:t>
      </w:r>
      <w:r w:rsidRPr="0095115A">
        <w:t>учреждений муниципального образования «Каргасокский район</w:t>
      </w:r>
      <w:r w:rsidRPr="0095115A">
        <w:rPr>
          <w:i/>
        </w:rPr>
        <w:t>»</w:t>
      </w:r>
      <w:r w:rsidRPr="0095115A">
        <w:t>, а также утверждения уставов муниципальных бюджетных, казенных, автономных учреждений муниципального образования «Каргасокский район</w:t>
      </w:r>
      <w:r w:rsidRPr="0095115A">
        <w:rPr>
          <w:i/>
        </w:rPr>
        <w:t xml:space="preserve">» </w:t>
      </w:r>
      <w:r w:rsidRPr="0095115A">
        <w:t>и внесения в них изменений</w:t>
      </w:r>
      <w:r>
        <w:t>»;</w:t>
      </w:r>
    </w:p>
    <w:p w:rsidR="00903EFD" w:rsidRDefault="00903EFD" w:rsidP="00947916">
      <w:pPr>
        <w:ind w:firstLine="567"/>
        <w:jc w:val="both"/>
      </w:pPr>
      <w:r>
        <w:t xml:space="preserve">Решение Думы Каргасокского района от 18.02.2015 № 341 - Решение Думы Каргасокского района от 18.02.2015 </w:t>
      </w:r>
      <w:r w:rsidRPr="00903EFD">
        <w:t>№ 341</w:t>
      </w:r>
      <w:r>
        <w:t xml:space="preserve"> «</w:t>
      </w:r>
      <w:r w:rsidRPr="00D624E9">
        <w:t>Об установлении размеров стоимости движимого имущества, находящегося в собственности муниципального образования «Каргасокский район»</w:t>
      </w:r>
      <w:r>
        <w:t>;</w:t>
      </w:r>
    </w:p>
    <w:p w:rsidR="008F75D7" w:rsidRDefault="008F75D7" w:rsidP="00947916">
      <w:pPr>
        <w:ind w:firstLine="567"/>
        <w:jc w:val="both"/>
      </w:pPr>
      <w:r>
        <w:t>Постановление Администрации Каргасокского района от 23.06.2011</w:t>
      </w:r>
      <w:r w:rsidRPr="00A5529C">
        <w:rPr>
          <w:b/>
        </w:rPr>
        <w:t xml:space="preserve"> </w:t>
      </w:r>
      <w:r w:rsidRPr="007E294D">
        <w:t>№ 147</w:t>
      </w:r>
      <w:r>
        <w:t xml:space="preserve"> - </w:t>
      </w:r>
      <w:r w:rsidR="00F55CA6">
        <w:t>Постановление Администрации Каргасокского района от 23.06.2011</w:t>
      </w:r>
      <w:r w:rsidR="00F55CA6" w:rsidRPr="00A5529C">
        <w:rPr>
          <w:b/>
        </w:rPr>
        <w:t xml:space="preserve"> </w:t>
      </w:r>
      <w:r w:rsidR="00F55CA6" w:rsidRPr="00F55CA6">
        <w:t>№ 147</w:t>
      </w:r>
      <w:r w:rsidR="00F55CA6">
        <w:t xml:space="preserve"> «</w:t>
      </w:r>
      <w:r w:rsidR="00F55CA6" w:rsidRPr="00721FA6">
        <w:t>О порядке и условиях формирования и финансового обеспечения муниципального задания муниципальным учреждениям муниципального образования «Каргасокский район»</w:t>
      </w:r>
      <w:r w:rsidR="00F55CA6">
        <w:t>;</w:t>
      </w:r>
    </w:p>
    <w:p w:rsidR="00903EFD" w:rsidRDefault="008F75D7" w:rsidP="00947916">
      <w:pPr>
        <w:ind w:firstLine="567"/>
        <w:jc w:val="both"/>
        <w:rPr>
          <w:szCs w:val="28"/>
        </w:rPr>
      </w:pPr>
      <w:r>
        <w:t>Постановление Администрации Каргасокского района от 30.12.2014 № 303 -</w:t>
      </w:r>
      <w:r w:rsidR="00F55CA6">
        <w:t xml:space="preserve"> Постановление Администрации Каргасокского района от 30.12.2014</w:t>
      </w:r>
      <w:r w:rsidR="00F55CA6" w:rsidRPr="00A5529C">
        <w:rPr>
          <w:b/>
        </w:rPr>
        <w:t xml:space="preserve"> </w:t>
      </w:r>
      <w:r w:rsidR="00F55CA6" w:rsidRPr="00F55CA6">
        <w:t>№ 303</w:t>
      </w:r>
      <w:r w:rsidR="00F55CA6">
        <w:t xml:space="preserve"> «</w:t>
      </w:r>
      <w:r w:rsidR="00F55CA6" w:rsidRPr="00596EB5">
        <w:rPr>
          <w:szCs w:val="28"/>
        </w:rPr>
        <w:t>О внесении изменений в постановление Администрации Каргасокского района от 23.06.2011 №147</w:t>
      </w:r>
      <w:r w:rsidR="00F55CA6">
        <w:rPr>
          <w:szCs w:val="28"/>
        </w:rPr>
        <w:t>»;</w:t>
      </w:r>
    </w:p>
    <w:p w:rsidR="00E516B7" w:rsidRDefault="00E516B7" w:rsidP="00947916">
      <w:pPr>
        <w:ind w:firstLine="567"/>
        <w:jc w:val="both"/>
      </w:pPr>
      <w:r>
        <w:t>Приказа Минфина</w:t>
      </w:r>
      <w:r w:rsidRPr="00C34B42">
        <w:t xml:space="preserve"> </w:t>
      </w:r>
      <w:r>
        <w:t xml:space="preserve">157н - Приказ </w:t>
      </w:r>
      <w:r w:rsidRPr="002E0E26">
        <w:t>Минфина России</w:t>
      </w:r>
      <w:r>
        <w:t xml:space="preserve"> от 01.12.2010 </w:t>
      </w:r>
      <w:r w:rsidRPr="00E516B7">
        <w:t>№ 157н</w:t>
      </w:r>
      <w:r>
        <w:t xml:space="preserve"> «Об утверждении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учреждений)»;</w:t>
      </w:r>
    </w:p>
    <w:p w:rsidR="00F55CA6" w:rsidRDefault="00E516B7" w:rsidP="00947916">
      <w:pPr>
        <w:ind w:firstLine="567"/>
        <w:jc w:val="both"/>
      </w:pPr>
      <w:r>
        <w:t xml:space="preserve">Приказ </w:t>
      </w:r>
      <w:r w:rsidRPr="002E0E26">
        <w:t xml:space="preserve">Минфина </w:t>
      </w:r>
      <w:r w:rsidRPr="008514B3">
        <w:t>№ 114н</w:t>
      </w:r>
      <w:r>
        <w:t xml:space="preserve"> - </w:t>
      </w:r>
      <w:r w:rsidR="005C3168">
        <w:t xml:space="preserve">Приказ </w:t>
      </w:r>
      <w:r w:rsidR="005C3168" w:rsidRPr="002E0E26">
        <w:t>Минфина России</w:t>
      </w:r>
      <w:r w:rsidR="005C3168">
        <w:t xml:space="preserve"> от 30.09.2010</w:t>
      </w:r>
      <w:r w:rsidR="005C3168" w:rsidRPr="003811ED">
        <w:rPr>
          <w:b/>
        </w:rPr>
        <w:t xml:space="preserve"> </w:t>
      </w:r>
      <w:r w:rsidR="005C3168" w:rsidRPr="005C3168">
        <w:t>№ 114н</w:t>
      </w:r>
      <w:r w:rsidR="005C3168">
        <w:t xml:space="preserve"> «Об общих требованиях к порядку составления и утверждения отчёта о результатах деятельности государственного (муниципального) учреждения и об использовании закреплённого за ним государственного (муниципального) имущества»;</w:t>
      </w:r>
    </w:p>
    <w:p w:rsidR="005C3168" w:rsidRDefault="0044238A" w:rsidP="00947916">
      <w:pPr>
        <w:ind w:firstLine="567"/>
        <w:jc w:val="both"/>
      </w:pPr>
      <w:r w:rsidRPr="003315EE">
        <w:t xml:space="preserve">Приказ </w:t>
      </w:r>
      <w:r w:rsidR="007A51D4">
        <w:t>Минфина</w:t>
      </w:r>
      <w:r w:rsidRPr="003315EE">
        <w:t xml:space="preserve"> </w:t>
      </w:r>
      <w:r w:rsidRPr="0044410D">
        <w:t>№ 33н</w:t>
      </w:r>
      <w:r>
        <w:t xml:space="preserve"> - </w:t>
      </w:r>
      <w:r w:rsidRPr="003315EE">
        <w:t xml:space="preserve">Приказ Министерства финансов РФ от </w:t>
      </w:r>
      <w:r>
        <w:t>25</w:t>
      </w:r>
      <w:r w:rsidRPr="003315EE">
        <w:t>.0</w:t>
      </w:r>
      <w:r>
        <w:t>3</w:t>
      </w:r>
      <w:r w:rsidRPr="003315EE">
        <w:t>.</w:t>
      </w:r>
      <w:r>
        <w:t>2011</w:t>
      </w:r>
      <w:r w:rsidRPr="003315EE">
        <w:t xml:space="preserve"> </w:t>
      </w:r>
      <w:r w:rsidRPr="0044238A">
        <w:t>№ 33н</w:t>
      </w:r>
      <w:r>
        <w:t xml:space="preserve"> «Инструкция о порядке составления, предоставления годовой, квартальной бухгалтерской отчётности государственных (муниципальных), бюджетных и автономных учреждений»;</w:t>
      </w:r>
    </w:p>
    <w:p w:rsidR="00903EFD" w:rsidRDefault="00903EFD" w:rsidP="00947916">
      <w:pPr>
        <w:ind w:firstLine="567"/>
        <w:jc w:val="both"/>
      </w:pPr>
    </w:p>
    <w:p w:rsidR="00947916" w:rsidRDefault="00947916" w:rsidP="00947916">
      <w:pPr>
        <w:ind w:firstLine="567"/>
        <w:jc w:val="both"/>
      </w:pPr>
      <w:r>
        <w:t>Результаты контрольного мероприятия:</w:t>
      </w:r>
    </w:p>
    <w:p w:rsidR="00771848" w:rsidRDefault="00771848" w:rsidP="00771848">
      <w:pPr>
        <w:ind w:firstLine="567"/>
        <w:jc w:val="both"/>
      </w:pPr>
      <w:r w:rsidRPr="00447A36">
        <w:lastRenderedPageBreak/>
        <w:t>Устав</w:t>
      </w:r>
      <w:r>
        <w:t xml:space="preserve"> </w:t>
      </w:r>
      <w:r w:rsidRPr="006E5903">
        <w:t>МБУК «Каргасокская ЦРБ»</w:t>
      </w:r>
      <w:r w:rsidRPr="00892839">
        <w:t xml:space="preserve"> </w:t>
      </w:r>
      <w:r>
        <w:t>соответствует требованиям раздела 7 «</w:t>
      </w:r>
      <w:r w:rsidRPr="008A7BEC">
        <w:t>Утверждение уставов</w:t>
      </w:r>
      <w:r w:rsidRPr="00983BA1">
        <w:t xml:space="preserve"> учреждений </w:t>
      </w:r>
      <w:r>
        <w:t>Каргасокского</w:t>
      </w:r>
      <w:r w:rsidRPr="0067229E">
        <w:t xml:space="preserve"> </w:t>
      </w:r>
      <w:r w:rsidRPr="008A7BEC">
        <w:t>района и внесение в них изменений»</w:t>
      </w:r>
      <w:r>
        <w:t xml:space="preserve"> Постановления АК</w:t>
      </w:r>
      <w:r w:rsidR="00903EFD">
        <w:t>Р</w:t>
      </w:r>
      <w:r>
        <w:t xml:space="preserve"> от 15.03.2011 </w:t>
      </w:r>
      <w:r w:rsidRPr="008A7BEC">
        <w:t xml:space="preserve">№ </w:t>
      </w:r>
      <w:r w:rsidRPr="007A51D4">
        <w:t>60</w:t>
      </w:r>
      <w:r>
        <w:t>.</w:t>
      </w:r>
    </w:p>
    <w:p w:rsidR="00771848" w:rsidRDefault="00771848" w:rsidP="00771848">
      <w:pPr>
        <w:ind w:firstLine="567"/>
        <w:jc w:val="both"/>
      </w:pPr>
      <w:r w:rsidRPr="006A4DFC">
        <w:t>В</w:t>
      </w:r>
      <w:r>
        <w:t xml:space="preserve"> тоже время в разделе 5 Устава не прописана </w:t>
      </w:r>
      <w:r w:rsidRPr="00D746ED">
        <w:t>обязанность</w:t>
      </w:r>
      <w:r w:rsidRPr="000F01C5">
        <w:t xml:space="preserve"> учреждения</w:t>
      </w:r>
      <w:r>
        <w:t>,</w:t>
      </w:r>
      <w:r w:rsidRPr="000F01C5">
        <w:t xml:space="preserve"> представлять имущество к учету в реестре муниципальной собственности в случае приобретения его за счет средств, выделенных учреждению собственником на приобретение такого имущества</w:t>
      </w:r>
      <w:r>
        <w:t xml:space="preserve"> (</w:t>
      </w:r>
      <w:r w:rsidRPr="009C714B">
        <w:t>п</w:t>
      </w:r>
      <w:r>
        <w:t xml:space="preserve">. </w:t>
      </w:r>
      <w:r w:rsidRPr="007F6E09">
        <w:t>46</w:t>
      </w:r>
      <w:r w:rsidRPr="009C714B">
        <w:t xml:space="preserve"> Постановления АК</w:t>
      </w:r>
      <w:r>
        <w:t>Р</w:t>
      </w:r>
      <w:r w:rsidRPr="009C714B">
        <w:t xml:space="preserve"> от 15.03.2011 № 60</w:t>
      </w:r>
      <w:r>
        <w:t xml:space="preserve">). Остаётся непонятным также информировать или нет учредителя об объектах имущества, приобретённых за счёт внебюджетных источников или предоставленных учреждению в виде спонсорской помощи. Есть ли необходимость информировать учредителя об объектах, стоимость которых ниже 50 тыс. рублей (Решение Думы Каргасокского района от 18.02.2015 № </w:t>
      </w:r>
      <w:r w:rsidRPr="00F44DDA">
        <w:t>341</w:t>
      </w:r>
      <w:r>
        <w:t>).</w:t>
      </w:r>
    </w:p>
    <w:p w:rsidR="00771848" w:rsidRDefault="00771848" w:rsidP="00771848">
      <w:pPr>
        <w:ind w:firstLine="567"/>
        <w:jc w:val="both"/>
      </w:pPr>
      <w:r w:rsidRPr="00375988">
        <w:rPr>
          <w:b/>
        </w:rPr>
        <w:t>П</w:t>
      </w:r>
      <w:r w:rsidRPr="00B43BD9">
        <w:t>редл</w:t>
      </w:r>
      <w:r w:rsidR="00B43BD9">
        <w:t xml:space="preserve">ожено </w:t>
      </w:r>
      <w:r>
        <w:t>Центральной районной библиотеке обсудить с учредителем необходимость внесения в свой Устав дополнений в раздел 5.</w:t>
      </w:r>
    </w:p>
    <w:p w:rsidR="00771848" w:rsidRDefault="00771848" w:rsidP="00771848">
      <w:pPr>
        <w:ind w:firstLine="567"/>
        <w:jc w:val="both"/>
      </w:pPr>
    </w:p>
    <w:p w:rsidR="00771848" w:rsidRDefault="00771848" w:rsidP="00771848">
      <w:pPr>
        <w:ind w:firstLine="567"/>
        <w:jc w:val="both"/>
      </w:pPr>
      <w:r>
        <w:t xml:space="preserve">В целом </w:t>
      </w:r>
      <w:r w:rsidRPr="007B0B1B">
        <w:t>План финансово-хозяйственной деятельности</w:t>
      </w:r>
      <w:r>
        <w:t xml:space="preserve"> МБУК «Каргасокская ЦРБ» на 2015 год составлен в соответствии с принятым Порядком, утверждённым приказом Отдела культуры </w:t>
      </w:r>
      <w:r w:rsidRPr="00892839">
        <w:t>А</w:t>
      </w:r>
      <w:r>
        <w:t>дминистрации Каргасокского района от 18.11.2011 № 31/1, но имеется ряд замечаний:</w:t>
      </w:r>
    </w:p>
    <w:p w:rsidR="00771848" w:rsidRDefault="00771848" w:rsidP="00771848">
      <w:pPr>
        <w:ind w:firstLine="567"/>
        <w:jc w:val="both"/>
      </w:pPr>
      <w:r>
        <w:t>1.План составлен только на один очередной финансовый год, а не на три года;</w:t>
      </w:r>
    </w:p>
    <w:p w:rsidR="00771848" w:rsidRDefault="00771848" w:rsidP="00771848">
      <w:pPr>
        <w:ind w:firstLine="567"/>
        <w:jc w:val="both"/>
      </w:pPr>
      <w:r>
        <w:t>2.План составлен в рублях, а не в тысячах рублей;</w:t>
      </w:r>
    </w:p>
    <w:p w:rsidR="00771848" w:rsidRDefault="00771848" w:rsidP="00771848">
      <w:pPr>
        <w:ind w:firstLine="567"/>
        <w:jc w:val="both"/>
      </w:pPr>
      <w:r>
        <w:t xml:space="preserve">3.В Плане, в некоторых случаях, сумма показателей строк не соответствует показателю итоговой строки. Один показатель итоговой строки раздела 3 прописан некорректно (непонятно). Ряд показателей </w:t>
      </w:r>
      <w:r w:rsidRPr="00D746ED">
        <w:t>нефинансовых и финансовых актив</w:t>
      </w:r>
      <w:r>
        <w:t>ов 2 раздела не соответствуют данным бухгалтерского учёта по состоянию на 01 января 2015 года.</w:t>
      </w:r>
    </w:p>
    <w:p w:rsidR="00771848" w:rsidRDefault="00771848" w:rsidP="00771848">
      <w:pPr>
        <w:ind w:firstLine="567"/>
        <w:jc w:val="both"/>
      </w:pPr>
      <w:r>
        <w:t xml:space="preserve">4.Показатели </w:t>
      </w:r>
      <w:r w:rsidRPr="00BC2B66">
        <w:t>Отчёта</w:t>
      </w:r>
      <w:r>
        <w:t xml:space="preserve"> об исполнении учреждением Плана его финансово-хозяйственной деятельности на 1 января 2016 года не соответствуют показателям Плана, утверждённого 12 января 2015 года.</w:t>
      </w:r>
    </w:p>
    <w:p w:rsidR="00771848" w:rsidRDefault="00771848" w:rsidP="00771848">
      <w:pPr>
        <w:ind w:firstLine="567"/>
        <w:jc w:val="both"/>
      </w:pPr>
      <w:r>
        <w:t xml:space="preserve">5.При внесении изменений в бюджет муниципального образования «Каргасокский район», касающихся </w:t>
      </w:r>
      <w:r w:rsidRPr="00D746ED">
        <w:t>Центральной районной библиотеки</w:t>
      </w:r>
      <w:r>
        <w:t>, не был составлен новый План на 2015 год.</w:t>
      </w:r>
    </w:p>
    <w:p w:rsidR="00771848" w:rsidRPr="00BC7889" w:rsidRDefault="00771848" w:rsidP="00771848">
      <w:pPr>
        <w:ind w:firstLine="567"/>
        <w:jc w:val="both"/>
      </w:pPr>
      <w:r w:rsidRPr="00375988">
        <w:rPr>
          <w:b/>
        </w:rPr>
        <w:t>П</w:t>
      </w:r>
      <w:r w:rsidRPr="00B43BD9">
        <w:t>редл</w:t>
      </w:r>
      <w:r w:rsidR="00B43BD9">
        <w:t>ожено п</w:t>
      </w:r>
      <w:r>
        <w:t xml:space="preserve">роанализировать План </w:t>
      </w:r>
      <w:r w:rsidRPr="007B0B1B">
        <w:t>финансово-хозяйственной деятельности</w:t>
      </w:r>
      <w:r>
        <w:t xml:space="preserve"> МБУК «Каргасокская ЦРБ» на 2016 год и плановый период 2017, 2018 годов и при обнаружении вышеуказанных нарушений устранить их. Также необходимо учесть замечания при составлении Плана на 2017 год и плановый период 2018, 2019 годов.</w:t>
      </w:r>
    </w:p>
    <w:p w:rsidR="00771848" w:rsidRPr="00375988" w:rsidRDefault="00771848" w:rsidP="00771848">
      <w:pPr>
        <w:ind w:firstLine="567"/>
        <w:jc w:val="both"/>
        <w:rPr>
          <w:b/>
        </w:rPr>
      </w:pPr>
    </w:p>
    <w:p w:rsidR="00771848" w:rsidRDefault="00771848" w:rsidP="00771848">
      <w:pPr>
        <w:ind w:firstLine="567"/>
        <w:jc w:val="both"/>
      </w:pPr>
      <w:r>
        <w:t xml:space="preserve">В целом Муниципальное задание МБУК «Каргасокская ЦРБ»  составлено и утверждено в соответствии с </w:t>
      </w:r>
      <w:r w:rsidRPr="00F44DDA">
        <w:t>постановлениями Администрации Каргасокского района от 23.06.2011</w:t>
      </w:r>
      <w:r w:rsidRPr="00F44DDA">
        <w:rPr>
          <w:b/>
        </w:rPr>
        <w:t xml:space="preserve"> </w:t>
      </w:r>
      <w:r w:rsidRPr="00F44DDA">
        <w:t>№ 147, от 30.12.2014 № 303</w:t>
      </w:r>
      <w:r>
        <w:t>, но имеется ряд замечаний:</w:t>
      </w:r>
    </w:p>
    <w:p w:rsidR="00771848" w:rsidRDefault="00771848" w:rsidP="00771848">
      <w:pPr>
        <w:ind w:firstLine="567"/>
        <w:jc w:val="both"/>
      </w:pPr>
      <w:r>
        <w:t>В графах заголовка таблиц пунктов 3.1 и 3.2 указаны названия года (</w:t>
      </w:r>
      <w:proofErr w:type="gramStart"/>
      <w:r>
        <w:t>отчётный</w:t>
      </w:r>
      <w:proofErr w:type="gramEnd"/>
      <w:r>
        <w:t xml:space="preserve">, текущий, очередной, плановый), которые не соответствуют указанным в этом же заголовке  годам, как это приписано в статье 6 Бюджетного кодекса. Данное обстоятельство затрудняет проводить анализ Муниципального задания и осуществлять </w:t>
      </w:r>
      <w:proofErr w:type="gramStart"/>
      <w:r>
        <w:t>контроль за</w:t>
      </w:r>
      <w:proofErr w:type="gramEnd"/>
      <w:r>
        <w:t xml:space="preserve"> его исполнением;</w:t>
      </w:r>
    </w:p>
    <w:p w:rsidR="00771848" w:rsidRDefault="00771848" w:rsidP="00771848">
      <w:pPr>
        <w:ind w:firstLine="567"/>
        <w:jc w:val="both"/>
      </w:pPr>
      <w:r>
        <w:t xml:space="preserve">В пункте 4.1 «Нормативные правовые акты, регулирующие порядок оказания услуг» приведены отменённые нормативные правовые акты, а именно: постановление Главы Каргасокского района от 14.11.2008 № </w:t>
      </w:r>
      <w:r w:rsidRPr="006C5C83">
        <w:t>201</w:t>
      </w:r>
      <w:r>
        <w:t>;</w:t>
      </w:r>
      <w:r w:rsidRPr="00844770">
        <w:t xml:space="preserve"> </w:t>
      </w:r>
      <w:r>
        <w:t>распоряжение Главы Каргасокского района от 18.11.2011 № 660, что может привести к нарушению действующих требований при составлении Муниципального задания.</w:t>
      </w:r>
    </w:p>
    <w:p w:rsidR="00771848" w:rsidRPr="00E6369D" w:rsidRDefault="00771848" w:rsidP="00771848">
      <w:pPr>
        <w:ind w:firstLine="567"/>
        <w:jc w:val="both"/>
      </w:pPr>
      <w:r>
        <w:rPr>
          <w:b/>
        </w:rPr>
        <w:t>П</w:t>
      </w:r>
      <w:r w:rsidRPr="00B43BD9">
        <w:t>редл</w:t>
      </w:r>
      <w:r w:rsidR="00B43BD9">
        <w:t>ожено п</w:t>
      </w:r>
      <w:r>
        <w:t xml:space="preserve">роверить содержание действующего Муниципального задания на очередной 2016 год и плановый период 2017, 2018 годов и учесть вышеуказанные </w:t>
      </w:r>
      <w:r>
        <w:lastRenderedPageBreak/>
        <w:t>замечания при составлении Муниципального задания на очередной 2017 год и плановый период 2018, 2019 годов.</w:t>
      </w:r>
    </w:p>
    <w:p w:rsidR="00771848" w:rsidRDefault="00771848" w:rsidP="00771848">
      <w:pPr>
        <w:ind w:firstLine="567"/>
        <w:jc w:val="both"/>
      </w:pPr>
    </w:p>
    <w:p w:rsidR="00771848" w:rsidRDefault="00771848" w:rsidP="00771848">
      <w:pPr>
        <w:ind w:firstLine="567"/>
        <w:jc w:val="both"/>
      </w:pPr>
      <w:r>
        <w:t>П</w:t>
      </w:r>
      <w:r w:rsidRPr="00B93194">
        <w:t>редоставление субсиди</w:t>
      </w:r>
      <w:r>
        <w:t>й</w:t>
      </w:r>
      <w:r w:rsidRPr="00B93194">
        <w:t xml:space="preserve"> </w:t>
      </w:r>
      <w:r w:rsidRPr="000328F9">
        <w:t>Центральной районной библиотеке</w:t>
      </w:r>
      <w:r w:rsidRPr="00B93194">
        <w:t xml:space="preserve"> осуществлялось на основании </w:t>
      </w:r>
      <w:r>
        <w:t>С</w:t>
      </w:r>
      <w:r w:rsidRPr="00B93194">
        <w:t>оглашени</w:t>
      </w:r>
      <w:r>
        <w:t>й</w:t>
      </w:r>
      <w:r w:rsidRPr="00B93194">
        <w:t xml:space="preserve"> о порядке </w:t>
      </w:r>
      <w:r>
        <w:t xml:space="preserve">их </w:t>
      </w:r>
      <w:r w:rsidRPr="00B93194">
        <w:t>предоставления</w:t>
      </w:r>
      <w:r>
        <w:t xml:space="preserve">, что соответствует </w:t>
      </w:r>
      <w:r w:rsidRPr="00B93194">
        <w:t>пункт</w:t>
      </w:r>
      <w:r>
        <w:t>у</w:t>
      </w:r>
      <w:r w:rsidRPr="00B93194">
        <w:t xml:space="preserve"> 15 постановления Администрации от 30.12.2014 № </w:t>
      </w:r>
      <w:r w:rsidRPr="00F44DDA">
        <w:t>303</w:t>
      </w:r>
      <w:r>
        <w:t>.</w:t>
      </w:r>
    </w:p>
    <w:p w:rsidR="00771848" w:rsidRDefault="00771848" w:rsidP="00771848">
      <w:pPr>
        <w:ind w:firstLine="567"/>
        <w:jc w:val="both"/>
      </w:pPr>
      <w:r>
        <w:t xml:space="preserve">Во многих случаях в течение года изменение размера субсидий оформлялось составлением новых Графиков перечисления субсидий, которые являлись приложениями к Соглашениям. В нарушение пункта 6.1 Соглашений в письменной форме не составлялось </w:t>
      </w:r>
      <w:r w:rsidRPr="003913B5">
        <w:t>дополнений к Соглашени</w:t>
      </w:r>
      <w:r>
        <w:t>ям. В Соглашениях о предоставлении субсидии на иные цели не прописаны размеры субсидий, но есть ссылки на Графики их перечисления.</w:t>
      </w:r>
    </w:p>
    <w:p w:rsidR="00771848" w:rsidRDefault="00771848" w:rsidP="00771848">
      <w:pPr>
        <w:ind w:firstLine="567"/>
        <w:jc w:val="both"/>
      </w:pPr>
      <w:r>
        <w:t xml:space="preserve">В Графиках перечисления субсидий, приложений к Соглашениям от </w:t>
      </w:r>
      <w:r w:rsidRPr="00137752">
        <w:t>20.01.</w:t>
      </w:r>
      <w:r>
        <w:t>20</w:t>
      </w:r>
      <w:r w:rsidRPr="00137752">
        <w:t xml:space="preserve">15 № 4 </w:t>
      </w:r>
      <w:r>
        <w:t xml:space="preserve"> и от </w:t>
      </w:r>
      <w:r w:rsidRPr="00137752">
        <w:t>28.01.</w:t>
      </w:r>
      <w:r>
        <w:t>20</w:t>
      </w:r>
      <w:r w:rsidRPr="00137752">
        <w:t>15 № 5</w:t>
      </w:r>
      <w:r>
        <w:t xml:space="preserve">, размеры субсидий не соответствуют, данным Отчёта об исполнении субсидий на иные цели </w:t>
      </w:r>
      <w:r w:rsidRPr="00A21F95">
        <w:rPr>
          <w:b/>
        </w:rPr>
        <w:t>за 4 квартал</w:t>
      </w:r>
      <w:r>
        <w:t xml:space="preserve"> 2015 года. Названия Отчётов не соответствуют их содержанию. Необходимо было в названии указать - Отчёт об исполнении субсидий на иные цели: за квартал, за полугодие, за 9 месяцев и за год.</w:t>
      </w:r>
    </w:p>
    <w:p w:rsidR="00771848" w:rsidRDefault="00771848" w:rsidP="00771848">
      <w:pPr>
        <w:ind w:firstLine="567"/>
        <w:jc w:val="both"/>
      </w:pPr>
      <w:r>
        <w:t>В некоторых случаях не соблюдались сроки перечисления субсидий, указанные в Графиках их перечисления, так же, в некоторых случаях, происходило излишнее перечисление средств, а затем в конце года их возврат.</w:t>
      </w:r>
    </w:p>
    <w:p w:rsidR="00771848" w:rsidRDefault="00771848" w:rsidP="00771848">
      <w:pPr>
        <w:ind w:firstLine="567"/>
        <w:jc w:val="both"/>
      </w:pPr>
      <w:r>
        <w:t xml:space="preserve">В течение 2015 года составлено 23 Сведения об операциях с целевыми субсидиями, представленными муниципальному учреждению в 2015 году по форме ОКУД </w:t>
      </w:r>
      <w:r w:rsidRPr="009D576D">
        <w:t>0501016</w:t>
      </w:r>
      <w:r>
        <w:t xml:space="preserve"> в соответствии с Приказом </w:t>
      </w:r>
      <w:r w:rsidRPr="002E0E26">
        <w:t>Минфина России</w:t>
      </w:r>
      <w:r>
        <w:t xml:space="preserve"> от 28.07.2010 </w:t>
      </w:r>
      <w:r w:rsidRPr="004A4D60">
        <w:t>№ 81н</w:t>
      </w:r>
      <w:r>
        <w:t xml:space="preserve">. </w:t>
      </w:r>
      <w:proofErr w:type="gramStart"/>
      <w:r>
        <w:t>Согласно</w:t>
      </w:r>
      <w:proofErr w:type="gramEnd"/>
      <w:r>
        <w:t xml:space="preserve"> данного Приказа эти Сведения составляются при предоставлении </w:t>
      </w:r>
      <w:r w:rsidRPr="00952781">
        <w:t>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>
        <w:t xml:space="preserve">. В 2015 году субсидий на проведение таких хозяйственных операций не предоставлялось. Если в организации считают, что такая форма документа необходима им для </w:t>
      </w:r>
      <w:proofErr w:type="gramStart"/>
      <w:r>
        <w:t>контроля за</w:t>
      </w:r>
      <w:proofErr w:type="gramEnd"/>
      <w:r>
        <w:t xml:space="preserve"> использованием субсидий, необходимо разработать свою аналогичную форму документа и прописать её в учётной политике.</w:t>
      </w:r>
    </w:p>
    <w:p w:rsidR="00771848" w:rsidRDefault="00771848" w:rsidP="00771848">
      <w:pPr>
        <w:ind w:firstLine="567"/>
        <w:jc w:val="both"/>
      </w:pPr>
      <w:r w:rsidRPr="00137752">
        <w:t xml:space="preserve"> </w:t>
      </w:r>
      <w:r w:rsidRPr="000569D9">
        <w:rPr>
          <w:b/>
        </w:rPr>
        <w:t>П</w:t>
      </w:r>
      <w:r w:rsidRPr="00B43BD9">
        <w:t>редл</w:t>
      </w:r>
      <w:r w:rsidR="00B43BD9">
        <w:t>ожено с</w:t>
      </w:r>
      <w:r>
        <w:t>овместно с сотрудниками МКУ «Отдел культуры и туризма администрации Каргасокского района» учесть замечания в 2016 и 2017 годах при заключении и исполнении соглашений.</w:t>
      </w:r>
    </w:p>
    <w:p w:rsidR="00771848" w:rsidRDefault="00771848" w:rsidP="00771848">
      <w:pPr>
        <w:ind w:firstLine="567"/>
        <w:jc w:val="both"/>
      </w:pPr>
    </w:p>
    <w:p w:rsidR="00771848" w:rsidRDefault="00771848" w:rsidP="00771848">
      <w:pPr>
        <w:ind w:firstLine="567"/>
        <w:jc w:val="both"/>
      </w:pPr>
      <w:r>
        <w:t>Бухгалтерский учёт и отчётность.</w:t>
      </w:r>
    </w:p>
    <w:p w:rsidR="00771848" w:rsidRDefault="00771848" w:rsidP="00771848">
      <w:pPr>
        <w:ind w:firstLine="567"/>
        <w:jc w:val="both"/>
        <w:rPr>
          <w:rFonts w:eastAsiaTheme="minorHAnsi"/>
          <w:lang w:eastAsia="en-US"/>
        </w:rPr>
      </w:pPr>
      <w:r w:rsidRPr="00C91529">
        <w:t>В Учётной политике содержатся ссылки на документы, которые в 2015 году уже утратили свою силу</w:t>
      </w:r>
      <w:r>
        <w:t xml:space="preserve">: приказ Минфина России от 15.12.2010 № 173н, Положение </w:t>
      </w:r>
      <w:r w:rsidRPr="0012430E">
        <w:t>Банк</w:t>
      </w:r>
      <w:r>
        <w:t>а</w:t>
      </w:r>
      <w:r w:rsidRPr="0012430E">
        <w:t xml:space="preserve"> России</w:t>
      </w:r>
      <w:r>
        <w:t xml:space="preserve"> от</w:t>
      </w:r>
      <w:r w:rsidRPr="0012430E">
        <w:t xml:space="preserve"> 12.10.2011 N 373-П</w:t>
      </w:r>
      <w:r>
        <w:t xml:space="preserve">, </w:t>
      </w:r>
      <w:r w:rsidRPr="00A24E3A">
        <w:rPr>
          <w:rFonts w:eastAsiaTheme="minorHAnsi"/>
          <w:lang w:eastAsia="en-US"/>
        </w:rPr>
        <w:t>Указание Банка России от 20.06.2007 N 1843-У</w:t>
      </w:r>
      <w:r>
        <w:rPr>
          <w:rFonts w:eastAsiaTheme="minorHAnsi"/>
          <w:lang w:eastAsia="en-US"/>
        </w:rPr>
        <w:t>.</w:t>
      </w:r>
    </w:p>
    <w:p w:rsidR="00771848" w:rsidRDefault="00771848" w:rsidP="00771848">
      <w:pPr>
        <w:ind w:firstLine="567"/>
        <w:jc w:val="both"/>
        <w:rPr>
          <w:rFonts w:eastAsiaTheme="minorHAnsi"/>
          <w:lang w:eastAsia="en-US"/>
        </w:rPr>
      </w:pPr>
      <w:r w:rsidRPr="00DC09BD">
        <w:rPr>
          <w:rFonts w:eastAsiaTheme="minorHAnsi"/>
          <w:lang w:eastAsia="en-US"/>
        </w:rPr>
        <w:t xml:space="preserve">В пункте 3.7.1 Учётной политике </w:t>
      </w:r>
      <w:r>
        <w:rPr>
          <w:rFonts w:eastAsiaTheme="minorHAnsi"/>
          <w:lang w:eastAsia="en-US"/>
        </w:rPr>
        <w:t xml:space="preserve">написано «Аналитический учёт расчётов с поставщиками (подрядчиками) ведётся в разрезе </w:t>
      </w:r>
      <w:r w:rsidRPr="00DC09BD">
        <w:rPr>
          <w:rFonts w:eastAsiaTheme="minorHAnsi"/>
          <w:b/>
          <w:lang w:eastAsia="en-US"/>
        </w:rPr>
        <w:t>кредиторов</w:t>
      </w:r>
      <w:r>
        <w:rPr>
          <w:rFonts w:eastAsiaTheme="minorHAnsi"/>
          <w:lang w:eastAsia="en-US"/>
        </w:rPr>
        <w:t xml:space="preserve">. Правильно было бы написать «в разрезе </w:t>
      </w:r>
      <w:r w:rsidRPr="00DC09BD">
        <w:rPr>
          <w:rFonts w:eastAsiaTheme="minorHAnsi"/>
          <w:b/>
          <w:lang w:eastAsia="en-US"/>
        </w:rPr>
        <w:t>контрагентов</w:t>
      </w:r>
      <w:r>
        <w:rPr>
          <w:rFonts w:eastAsiaTheme="minorHAnsi"/>
          <w:lang w:eastAsia="en-US"/>
        </w:rPr>
        <w:t>», так как задолженность по поставщикам может быть как кредиторской, так и дебиторской.</w:t>
      </w:r>
    </w:p>
    <w:p w:rsidR="00771848" w:rsidRDefault="00771848" w:rsidP="0077184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59768F">
        <w:rPr>
          <w:rFonts w:eastAsiaTheme="minorHAnsi"/>
          <w:lang w:eastAsia="en-US"/>
        </w:rPr>
        <w:t>В приложениях № 10, №11 и № 12 отсутствуют подписи лиц, которые должны быть ознакомлены с данными приложениями.</w:t>
      </w:r>
    </w:p>
    <w:p w:rsidR="00771848" w:rsidRDefault="00771848" w:rsidP="00B43BD9">
      <w:pPr>
        <w:autoSpaceDE w:val="0"/>
        <w:autoSpaceDN w:val="0"/>
        <w:adjustRightInd w:val="0"/>
        <w:ind w:firstLine="567"/>
      </w:pPr>
      <w:r w:rsidRPr="0059768F">
        <w:rPr>
          <w:rFonts w:eastAsiaTheme="minorHAnsi"/>
          <w:b/>
          <w:lang w:eastAsia="en-US"/>
        </w:rPr>
        <w:t>П</w:t>
      </w:r>
      <w:r w:rsidRPr="00B43BD9">
        <w:rPr>
          <w:rFonts w:eastAsiaTheme="minorHAnsi"/>
          <w:lang w:eastAsia="en-US"/>
        </w:rPr>
        <w:t>редл</w:t>
      </w:r>
      <w:r w:rsidR="00B43BD9">
        <w:rPr>
          <w:rFonts w:eastAsiaTheme="minorHAnsi"/>
          <w:lang w:eastAsia="en-US"/>
        </w:rPr>
        <w:t>ожено д</w:t>
      </w:r>
      <w:r>
        <w:t>оработать Учетную политику.</w:t>
      </w:r>
    </w:p>
    <w:p w:rsidR="00771848" w:rsidRDefault="00771848" w:rsidP="00771848">
      <w:pPr>
        <w:ind w:firstLine="567"/>
        <w:jc w:val="both"/>
      </w:pPr>
    </w:p>
    <w:p w:rsidR="00771848" w:rsidRDefault="00771848" w:rsidP="00771848">
      <w:pPr>
        <w:ind w:firstLine="567"/>
        <w:jc w:val="both"/>
      </w:pPr>
      <w:r>
        <w:t xml:space="preserve">Установлено расхождение в учёте данных </w:t>
      </w:r>
      <w:r w:rsidRPr="00AB3FF1">
        <w:t>счет</w:t>
      </w:r>
      <w:r>
        <w:t>а</w:t>
      </w:r>
      <w:r w:rsidRPr="00AB3FF1">
        <w:t xml:space="preserve"> 101</w:t>
      </w:r>
      <w:r>
        <w:t xml:space="preserve"> с данными </w:t>
      </w:r>
      <w:r w:rsidRPr="00AB3FF1">
        <w:t>субсчет</w:t>
      </w:r>
      <w:r>
        <w:t>а</w:t>
      </w:r>
      <w:r w:rsidRPr="00AB3FF1">
        <w:t xml:space="preserve"> 101.20</w:t>
      </w:r>
      <w:r>
        <w:t xml:space="preserve"> на  </w:t>
      </w:r>
      <w:r w:rsidRPr="00AB3FF1">
        <w:t>5 629</w:t>
      </w:r>
      <w:r>
        <w:t xml:space="preserve"> объектов на сумму </w:t>
      </w:r>
      <w:r w:rsidRPr="006C3882">
        <w:t>1 332 376,69</w:t>
      </w:r>
      <w:r>
        <w:t xml:space="preserve"> руб., числящихся в учете учреждения без закрепления в перечне особо ценного движимого имущества.</w:t>
      </w:r>
    </w:p>
    <w:p w:rsidR="00771848" w:rsidRDefault="00771848" w:rsidP="00771848">
      <w:pPr>
        <w:ind w:firstLine="567"/>
        <w:jc w:val="both"/>
      </w:pPr>
      <w:r>
        <w:t>Н</w:t>
      </w:r>
      <w:r w:rsidRPr="00AB3FF1">
        <w:t>е числится на балансе</w:t>
      </w:r>
      <w:r w:rsidRPr="00065A29">
        <w:rPr>
          <w:b/>
        </w:rPr>
        <w:t xml:space="preserve"> </w:t>
      </w:r>
      <w:r w:rsidRPr="00065A29">
        <w:t>учреждения</w:t>
      </w:r>
      <w:r>
        <w:t xml:space="preserve"> большой центр общественного </w:t>
      </w:r>
      <w:r w:rsidRPr="000059CD">
        <w:t>доступа</w:t>
      </w:r>
      <w:r>
        <w:t xml:space="preserve">  в составе комплектующего оборудования  стоимостью 580 803,45 руб., хотя объект закреплён  собственником имущества в перечне особо ценного движимого имущества </w:t>
      </w:r>
      <w:r w:rsidRPr="009D1569">
        <w:t>на</w:t>
      </w:r>
      <w:r>
        <w:t xml:space="preserve"> основании распоряжения Администрации Каргасокского района от 08.07.2014 № 412. Он </w:t>
      </w:r>
      <w:r>
        <w:lastRenderedPageBreak/>
        <w:t xml:space="preserve">есть, но в разрезе </w:t>
      </w:r>
      <w:proofErr w:type="gramStart"/>
      <w:r>
        <w:t>комплектующих</w:t>
      </w:r>
      <w:proofErr w:type="gramEnd"/>
      <w:r>
        <w:t>, что не даёт возможности осуществлять учредителю контроль за наличием, сохранностью и целевым использованием объекта.</w:t>
      </w:r>
    </w:p>
    <w:p w:rsidR="00771848" w:rsidRDefault="00771848" w:rsidP="00771848">
      <w:pPr>
        <w:ind w:firstLine="567"/>
        <w:jc w:val="both"/>
      </w:pPr>
      <w:r>
        <w:t>С материально-ответственными лицами по основным средствам заключены договора о полной индивидуальной материальной ответственности, но отсутствуют перечни закрепленных за ними объектов. Часть договоров заключалась по срокам позже, чем материально–ответственному лицу ставили основные средства в подотчет.</w:t>
      </w:r>
    </w:p>
    <w:p w:rsidR="00771848" w:rsidRDefault="00771848" w:rsidP="0077184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Списание основных средств, в нарушение пункта 10</w:t>
      </w:r>
      <w:r w:rsidRPr="00DE7E35">
        <w:t xml:space="preserve"> </w:t>
      </w:r>
      <w:r>
        <w:t xml:space="preserve">приложения № 1 к постановлению Администрации Каргасокского района от 02.08.2011 </w:t>
      </w:r>
      <w:r w:rsidRPr="007C1B0F">
        <w:t>№ 181</w:t>
      </w:r>
      <w:r>
        <w:t>,</w:t>
      </w:r>
      <w:r w:rsidRPr="007C1B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производилось учреждением без согласования с собственником муниципального имущества.</w:t>
      </w:r>
    </w:p>
    <w:p w:rsidR="00771848" w:rsidRDefault="00771848" w:rsidP="00771848">
      <w:pPr>
        <w:ind w:firstLine="567"/>
        <w:jc w:val="both"/>
      </w:pPr>
      <w:r>
        <w:t>В н</w:t>
      </w:r>
      <w:r w:rsidRPr="007E450C">
        <w:t>арушени</w:t>
      </w:r>
      <w:r>
        <w:t>е</w:t>
      </w:r>
      <w:r w:rsidRPr="007E450C">
        <w:t xml:space="preserve"> </w:t>
      </w:r>
      <w:r w:rsidRPr="007F209F">
        <w:t>Инструкции по применению единого плана счетов</w:t>
      </w:r>
      <w:r>
        <w:t xml:space="preserve"> (</w:t>
      </w:r>
      <w:r w:rsidRPr="00F44DDA">
        <w:t>Приказа Минфина 157н</w:t>
      </w:r>
      <w:r>
        <w:t>)</w:t>
      </w:r>
      <w:r w:rsidRPr="007F209F">
        <w:t>:</w:t>
      </w:r>
    </w:p>
    <w:p w:rsidR="00771848" w:rsidRDefault="00771848" w:rsidP="00771848">
      <w:pPr>
        <w:ind w:firstLine="567"/>
        <w:jc w:val="both"/>
      </w:pPr>
      <w:r>
        <w:t xml:space="preserve">- 3 объекта (лестница стремянка)  </w:t>
      </w:r>
      <w:r w:rsidRPr="007E450C">
        <w:t xml:space="preserve">стоимостью </w:t>
      </w:r>
      <w:r>
        <w:t xml:space="preserve">каждая </w:t>
      </w:r>
      <w:r w:rsidRPr="007E450C">
        <w:t xml:space="preserve">до </w:t>
      </w:r>
      <w:r w:rsidRPr="00D92F44">
        <w:t>3 000</w:t>
      </w:r>
      <w:r w:rsidRPr="007E450C">
        <w:t xml:space="preserve"> руб.</w:t>
      </w:r>
      <w:r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, следовало учитывать на </w:t>
      </w:r>
      <w:r w:rsidRPr="007E450C">
        <w:t>забалансовом сч</w:t>
      </w:r>
      <w:r>
        <w:t>ё</w:t>
      </w:r>
      <w:r w:rsidRPr="007E450C">
        <w:t>те 21</w:t>
      </w:r>
      <w:r>
        <w:t>;</w:t>
      </w:r>
    </w:p>
    <w:p w:rsidR="00771848" w:rsidRDefault="00771848" w:rsidP="00771848">
      <w:pPr>
        <w:ind w:firstLine="567"/>
        <w:jc w:val="both"/>
      </w:pPr>
      <w:r>
        <w:t xml:space="preserve">- </w:t>
      </w:r>
      <w:r w:rsidRPr="007F209F">
        <w:t>системные блоки, мониторы, внешний жесткий диск</w:t>
      </w:r>
      <w:r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, следовало учитывать </w:t>
      </w:r>
      <w:r w:rsidRPr="007E450C">
        <w:t>в составе материальных запасов</w:t>
      </w:r>
      <w:r>
        <w:t>;</w:t>
      </w:r>
    </w:p>
    <w:p w:rsidR="00771848" w:rsidRPr="00B60D0A" w:rsidRDefault="00771848" w:rsidP="00771848">
      <w:pPr>
        <w:ind w:firstLine="567"/>
        <w:jc w:val="both"/>
      </w:pPr>
      <w:r w:rsidRPr="00FE7C51">
        <w:t xml:space="preserve">- два объекта (доска пробка, стеллаж детский двухсторонний) </w:t>
      </w:r>
      <w:r w:rsidRPr="00B1058D">
        <w:t>стоимостью до 40 тыс.</w:t>
      </w:r>
      <w:r w:rsidRPr="00FE7C51">
        <w:t xml:space="preserve"> руб. числятся на балансе с остаточной стоимостью.</w:t>
      </w:r>
      <w:r>
        <w:t xml:space="preserve"> </w:t>
      </w:r>
    </w:p>
    <w:p w:rsidR="00771848" w:rsidRPr="00FE7C51" w:rsidRDefault="00771848" w:rsidP="00771848">
      <w:pPr>
        <w:ind w:firstLine="567"/>
        <w:jc w:val="both"/>
      </w:pPr>
      <w:r w:rsidRPr="00BE5FB4">
        <w:t xml:space="preserve">В нарушение </w:t>
      </w:r>
      <w:r w:rsidRPr="00F44DDA">
        <w:rPr>
          <w:rFonts w:eastAsiaTheme="minorHAnsi"/>
          <w:lang w:eastAsia="en-US"/>
        </w:rPr>
        <w:t>Постановления Правительства РФ от 1 января 2002 г. N 1</w:t>
      </w:r>
      <w:r>
        <w:rPr>
          <w:rFonts w:eastAsiaTheme="minorHAnsi"/>
          <w:lang w:eastAsia="en-US"/>
        </w:rPr>
        <w:t xml:space="preserve"> </w:t>
      </w:r>
      <w:r w:rsidRPr="00BE5FB4">
        <w:t xml:space="preserve">не правильно установлен срок полезного использования на </w:t>
      </w:r>
      <w:r>
        <w:t xml:space="preserve">принтер </w:t>
      </w:r>
      <w:r>
        <w:rPr>
          <w:lang w:val="en-US"/>
        </w:rPr>
        <w:t>Epson</w:t>
      </w:r>
      <w:r>
        <w:t>.</w:t>
      </w:r>
    </w:p>
    <w:p w:rsidR="00771848" w:rsidRDefault="00771848" w:rsidP="00771848">
      <w:pPr>
        <w:ind w:firstLine="567"/>
        <w:jc w:val="both"/>
      </w:pPr>
      <w:r w:rsidRPr="00891C71">
        <w:t>В нарушении п.118 Инструкции</w:t>
      </w:r>
      <w:r>
        <w:t xml:space="preserve"> 157н на субсчёте 105.36 «Прочие материальные запасы» необоснованно учитываются:</w:t>
      </w:r>
    </w:p>
    <w:p w:rsidR="00771848" w:rsidRDefault="00771848" w:rsidP="00771848">
      <w:pPr>
        <w:ind w:firstLine="567"/>
        <w:jc w:val="both"/>
      </w:pPr>
      <w:r>
        <w:t>- дрова, которые необходимо было учитывать на субсчёте 105.33 «Горюче-смазочные материалы»;</w:t>
      </w:r>
    </w:p>
    <w:p w:rsidR="00771848" w:rsidRDefault="00771848" w:rsidP="00771848">
      <w:pPr>
        <w:ind w:firstLine="567"/>
        <w:jc w:val="both"/>
      </w:pPr>
      <w:r>
        <w:t>- гипсовая штукатурка, краска ПФ, кабель  т.д., которые необходимо было учитывать на субсчёте 105.34 «Строительные материалы».</w:t>
      </w:r>
    </w:p>
    <w:p w:rsidR="00771848" w:rsidRDefault="00771848" w:rsidP="00771848">
      <w:pPr>
        <w:ind w:firstLine="567"/>
        <w:jc w:val="both"/>
      </w:pPr>
      <w:r>
        <w:t xml:space="preserve">На субсчёте 105.36 «Прочие материальные запасы» на 01.01.2016 года имеется </w:t>
      </w:r>
      <w:r w:rsidRPr="00886E85">
        <w:t>отрицательное сальдо</w:t>
      </w:r>
      <w:r>
        <w:t xml:space="preserve"> по номенклатуре «кашпо» «-3» </w:t>
      </w:r>
      <w:proofErr w:type="spellStart"/>
      <w:proofErr w:type="gramStart"/>
      <w:r>
        <w:t>шт</w:t>
      </w:r>
      <w:proofErr w:type="spellEnd"/>
      <w:proofErr w:type="gramEnd"/>
      <w:r>
        <w:t xml:space="preserve"> на сумму «- 1 113,00» руб.</w:t>
      </w:r>
    </w:p>
    <w:p w:rsidR="00771848" w:rsidRDefault="00771848" w:rsidP="00771848">
      <w:pPr>
        <w:ind w:firstLine="567"/>
        <w:jc w:val="both"/>
      </w:pPr>
      <w:r w:rsidRPr="00886E85">
        <w:t>В нарушение Указания Банка России от 11.03.2014 № 3210-У приказом по учреждению не установлен лимит остатка кассы</w:t>
      </w:r>
      <w:r>
        <w:t>.</w:t>
      </w:r>
    </w:p>
    <w:p w:rsidR="00771848" w:rsidRDefault="00771848" w:rsidP="00771848">
      <w:pPr>
        <w:ind w:firstLine="567"/>
        <w:jc w:val="both"/>
      </w:pPr>
      <w:r w:rsidRPr="00886E85">
        <w:t>Наличные денежные средства, полученные от приносящей доход деятельности, сдавались на счёт Сбербанка России, минуя кассу.</w:t>
      </w:r>
    </w:p>
    <w:p w:rsidR="00771848" w:rsidRDefault="00771848" w:rsidP="00771848">
      <w:pPr>
        <w:ind w:firstLine="567"/>
        <w:jc w:val="both"/>
        <w:rPr>
          <w:b/>
        </w:rPr>
      </w:pPr>
      <w:r>
        <w:t xml:space="preserve">Сумма  </w:t>
      </w:r>
      <w:r>
        <w:rPr>
          <w:rFonts w:eastAsiaTheme="minorHAnsi"/>
          <w:lang w:eastAsia="en-US"/>
        </w:rPr>
        <w:t xml:space="preserve">балансовой стоимости принятого к учету недвижимого </w:t>
      </w:r>
      <w:r>
        <w:t xml:space="preserve">(субсчёт 101.10) </w:t>
      </w:r>
      <w:r>
        <w:rPr>
          <w:rFonts w:eastAsiaTheme="minorHAnsi"/>
          <w:lang w:eastAsia="en-US"/>
        </w:rPr>
        <w:t xml:space="preserve"> и особо ценного движимого (субсчёт 101.20) имущества</w:t>
      </w:r>
      <w:r w:rsidRPr="006231ED">
        <w:rPr>
          <w:b/>
        </w:rPr>
        <w:t xml:space="preserve"> </w:t>
      </w:r>
      <w:r w:rsidRPr="00085666">
        <w:t>не соответствует сумме</w:t>
      </w:r>
      <w:r>
        <w:rPr>
          <w:b/>
        </w:rPr>
        <w:t xml:space="preserve"> </w:t>
      </w:r>
      <w:r>
        <w:t xml:space="preserve">по субсчету </w:t>
      </w:r>
      <w:r w:rsidRPr="002A7601">
        <w:t>210.06</w:t>
      </w:r>
      <w:r>
        <w:t>.</w:t>
      </w:r>
    </w:p>
    <w:p w:rsidR="00771848" w:rsidRDefault="00771848" w:rsidP="00771848">
      <w:pPr>
        <w:ind w:firstLine="567"/>
        <w:jc w:val="both"/>
      </w:pPr>
      <w:r>
        <w:t xml:space="preserve">При проверке расчётов с подотчётными лицами установлено, </w:t>
      </w:r>
      <w:r w:rsidRPr="00F07591">
        <w:t>что в нарушение п.3.6.4 Учётной политики учреждения подотчётные лица несвоевременно отчитывались за полученные суммы.</w:t>
      </w:r>
    </w:p>
    <w:p w:rsidR="00771848" w:rsidRDefault="00771848" w:rsidP="00771848">
      <w:pPr>
        <w:ind w:firstLine="567"/>
        <w:jc w:val="both"/>
      </w:pPr>
      <w:r>
        <w:t xml:space="preserve">В нарушение </w:t>
      </w:r>
      <w:r w:rsidRPr="00F44DDA">
        <w:t>Приказа Минфина № 114н</w:t>
      </w:r>
      <w:r>
        <w:t xml:space="preserve"> не был представлен на проверку О</w:t>
      </w:r>
      <w:r w:rsidRPr="008514B3">
        <w:t>тчет 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. Он не размещён в сети Интернет </w:t>
      </w:r>
      <w:r w:rsidRPr="00865115">
        <w:t>(</w:t>
      </w:r>
      <w:hyperlink r:id="rId7" w:history="1">
        <w:r w:rsidRPr="00865115">
          <w:rPr>
            <w:rStyle w:val="a3"/>
          </w:rPr>
          <w:t>www.bus.gav.ru</w:t>
        </w:r>
      </w:hyperlink>
      <w:r w:rsidRPr="00865115">
        <w:t>)</w:t>
      </w:r>
      <w:r>
        <w:t>;</w:t>
      </w:r>
    </w:p>
    <w:p w:rsidR="00771848" w:rsidRDefault="00771848" w:rsidP="00771848">
      <w:pPr>
        <w:ind w:firstLine="567"/>
        <w:jc w:val="both"/>
      </w:pPr>
      <w:r>
        <w:t xml:space="preserve">В нарушение </w:t>
      </w:r>
      <w:r w:rsidRPr="00F44DDA">
        <w:t xml:space="preserve">Приказа </w:t>
      </w:r>
      <w:r w:rsidR="00F44DDA">
        <w:t>Минфина</w:t>
      </w:r>
      <w:bookmarkStart w:id="0" w:name="_GoBack"/>
      <w:bookmarkEnd w:id="0"/>
      <w:r w:rsidRPr="00F44DDA">
        <w:t xml:space="preserve"> № 33н</w:t>
      </w:r>
      <w:r>
        <w:t xml:space="preserve"> не представлены на проверку формы отчётов в составе годовой бухгалтерской отчётности: </w:t>
      </w:r>
      <w:r w:rsidRPr="00795A9E">
        <w:t>Справка по консолидируемым расчетам учреждения (ф. 0503725);</w:t>
      </w:r>
      <w:r>
        <w:t xml:space="preserve"> </w:t>
      </w:r>
      <w:r w:rsidRPr="00795A9E">
        <w:t>Справка по заключению учреждением счетов бухгалтерского учета отчетного финансового года (ф. 0503710);</w:t>
      </w:r>
      <w:r>
        <w:t xml:space="preserve"> </w:t>
      </w:r>
      <w:r w:rsidRPr="00795A9E">
        <w:t>Отчет об обязательствах учреждения (ф. 0503738);</w:t>
      </w:r>
      <w:r>
        <w:t xml:space="preserve"> </w:t>
      </w:r>
      <w:r w:rsidRPr="00795A9E">
        <w:t xml:space="preserve">Пояснительная записка к </w:t>
      </w:r>
      <w:r>
        <w:t>Балансу учреждения (ф. 0503760).</w:t>
      </w:r>
    </w:p>
    <w:p w:rsidR="00771848" w:rsidRDefault="00771848" w:rsidP="00771848">
      <w:pPr>
        <w:ind w:firstLine="567"/>
        <w:jc w:val="both"/>
      </w:pPr>
      <w:r>
        <w:t>Годовая бухгалтерская отчётность не сброшюрована и представлена в виде отдельных нескольких форм.</w:t>
      </w:r>
    </w:p>
    <w:p w:rsidR="00771848" w:rsidRDefault="00771848" w:rsidP="00771848">
      <w:pPr>
        <w:ind w:firstLine="567"/>
        <w:jc w:val="both"/>
      </w:pPr>
      <w:r>
        <w:t>Цифровой материал</w:t>
      </w:r>
      <w:r w:rsidRPr="00795A9E">
        <w:t xml:space="preserve"> Отчет</w:t>
      </w:r>
      <w:r>
        <w:t>а</w:t>
      </w:r>
      <w:r w:rsidRPr="00795A9E">
        <w:t xml:space="preserve"> об исполнении учреждением плана его финансово-хозяйств</w:t>
      </w:r>
      <w:r>
        <w:t xml:space="preserve">енной деятельности (ф. 0503737) и </w:t>
      </w:r>
      <w:r w:rsidRPr="00795A9E">
        <w:t>Отчет</w:t>
      </w:r>
      <w:r>
        <w:t>а</w:t>
      </w:r>
      <w:r w:rsidRPr="00795A9E">
        <w:t xml:space="preserve"> о финансовых результатах деяте</w:t>
      </w:r>
      <w:r>
        <w:t>льности учреждения (ф. 0503721), размещённого н</w:t>
      </w:r>
      <w:r w:rsidRPr="00795A9E">
        <w:t>а сайте</w:t>
      </w:r>
      <w:r>
        <w:t xml:space="preserve"> </w:t>
      </w:r>
      <w:r w:rsidRPr="00865115">
        <w:t>(</w:t>
      </w:r>
      <w:hyperlink r:id="rId8" w:history="1">
        <w:r w:rsidRPr="00865115">
          <w:rPr>
            <w:rStyle w:val="a3"/>
          </w:rPr>
          <w:t>www.bus.gav.ru</w:t>
        </w:r>
      </w:hyperlink>
      <w:r w:rsidRPr="00865115">
        <w:t>)</w:t>
      </w:r>
      <w:r>
        <w:t>, не соответствует формам отчётности на бумажном носителе, представленным на проверку.</w:t>
      </w:r>
    </w:p>
    <w:p w:rsidR="00771848" w:rsidRDefault="00771848" w:rsidP="00B43BD9">
      <w:pPr>
        <w:autoSpaceDE w:val="0"/>
        <w:autoSpaceDN w:val="0"/>
        <w:adjustRightInd w:val="0"/>
        <w:ind w:firstLine="567"/>
      </w:pPr>
      <w:r w:rsidRPr="0059768F">
        <w:rPr>
          <w:rFonts w:eastAsiaTheme="minorHAnsi"/>
          <w:b/>
          <w:lang w:eastAsia="en-US"/>
        </w:rPr>
        <w:lastRenderedPageBreak/>
        <w:t>П</w:t>
      </w:r>
      <w:r w:rsidRPr="00B43BD9">
        <w:rPr>
          <w:rFonts w:eastAsiaTheme="minorHAnsi"/>
          <w:lang w:eastAsia="en-US"/>
        </w:rPr>
        <w:t>редл</w:t>
      </w:r>
      <w:r w:rsidR="00B43BD9">
        <w:rPr>
          <w:rFonts w:eastAsiaTheme="minorHAnsi"/>
          <w:lang w:eastAsia="en-US"/>
        </w:rPr>
        <w:t>ожено у</w:t>
      </w:r>
      <w:r>
        <w:t>странить допущенные в учёте нарушения.</w:t>
      </w:r>
    </w:p>
    <w:p w:rsidR="00B43BD9" w:rsidRDefault="00B43BD9" w:rsidP="00B43BD9">
      <w:pPr>
        <w:autoSpaceDE w:val="0"/>
        <w:autoSpaceDN w:val="0"/>
        <w:adjustRightInd w:val="0"/>
        <w:ind w:firstLine="567"/>
      </w:pPr>
    </w:p>
    <w:p w:rsidR="00911E87" w:rsidRDefault="00911E87" w:rsidP="00076034">
      <w:pPr>
        <w:ind w:firstLine="567"/>
        <w:jc w:val="both"/>
      </w:pPr>
      <w:r>
        <w:t xml:space="preserve">Акт проверки представлен </w:t>
      </w:r>
      <w:r w:rsidR="00B634CF">
        <w:t xml:space="preserve">директору Муниципального бюджетного учреждения культуры «Каргасокская центральная районная библиотека» </w:t>
      </w:r>
      <w:r>
        <w:t xml:space="preserve">и подписан им. По результатам проверки в </w:t>
      </w:r>
      <w:r w:rsidR="00B634CF">
        <w:t xml:space="preserve">МБУК «Каргасокская ЦРБ» </w:t>
      </w:r>
      <w:r>
        <w:t xml:space="preserve">направлено Представление по устранению выявленных нарушений </w:t>
      </w:r>
      <w:r w:rsidRPr="001B14EB">
        <w:t xml:space="preserve">от </w:t>
      </w:r>
      <w:r w:rsidR="0044238A">
        <w:t>28</w:t>
      </w:r>
      <w:r w:rsidRPr="001B14EB">
        <w:t>.</w:t>
      </w:r>
      <w:r w:rsidR="00A940B2">
        <w:t>12</w:t>
      </w:r>
      <w:r w:rsidRPr="001B14EB">
        <w:t>.201</w:t>
      </w:r>
      <w:r>
        <w:t xml:space="preserve">6 </w:t>
      </w:r>
      <w:r w:rsidRPr="001B14EB">
        <w:t xml:space="preserve">№ </w:t>
      </w:r>
      <w:r>
        <w:t>02-05-</w:t>
      </w:r>
      <w:r w:rsidR="0044238A">
        <w:t>86</w:t>
      </w:r>
      <w:r>
        <w:t xml:space="preserve">. </w:t>
      </w:r>
      <w:r w:rsidR="00A940B2">
        <w:t>Как указано в представлении, через месяц должен поступить письменный ответ о принимаемых мерах по устранению нарушений.</w:t>
      </w:r>
    </w:p>
    <w:p w:rsidR="0044238A" w:rsidRDefault="00411106" w:rsidP="00411106">
      <w:pPr>
        <w:snapToGrid w:val="0"/>
        <w:spacing w:line="25" w:lineRule="atLeast"/>
        <w:ind w:firstLine="567"/>
        <w:jc w:val="both"/>
      </w:pPr>
      <w:r>
        <w:t>Начальнику МКУ «Отдел культуры и туризма Администрации Каргасокского района»</w:t>
      </w:r>
      <w:r w:rsidR="007B2C12">
        <w:t>,</w:t>
      </w:r>
      <w:r>
        <w:t xml:space="preserve"> как исполня</w:t>
      </w:r>
      <w:r w:rsidR="007B2C12">
        <w:t>ющему</w:t>
      </w:r>
      <w:r>
        <w:t xml:space="preserve"> обязанности учредителя МБУК «Каргасокская ЦРБ» и главн</w:t>
      </w:r>
      <w:r w:rsidR="007B2C12">
        <w:t>о</w:t>
      </w:r>
      <w:r>
        <w:t>м</w:t>
      </w:r>
      <w:r w:rsidR="007B2C12">
        <w:t>у</w:t>
      </w:r>
      <w:r>
        <w:t xml:space="preserve"> её распорядител</w:t>
      </w:r>
      <w:r w:rsidR="007B2C12">
        <w:t xml:space="preserve">ю, направлена копия Акта для осуществления </w:t>
      </w:r>
      <w:proofErr w:type="gramStart"/>
      <w:r>
        <w:t>контрол</w:t>
      </w:r>
      <w:r w:rsidR="007B2C12">
        <w:t>я за</w:t>
      </w:r>
      <w:proofErr w:type="gramEnd"/>
      <w:r>
        <w:t xml:space="preserve"> устранение</w:t>
      </w:r>
      <w:r w:rsidR="007B2C12">
        <w:t>м</w:t>
      </w:r>
      <w:r>
        <w:t xml:space="preserve"> выявленных в ходе проверки нарушений</w:t>
      </w:r>
      <w:r w:rsidR="007B2C12">
        <w:t>.</w:t>
      </w:r>
    </w:p>
    <w:p w:rsidR="00911E87" w:rsidRDefault="00911E87" w:rsidP="00911E87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A940B2" w:rsidRDefault="00911E87" w:rsidP="00911E87">
      <w:pPr>
        <w:ind w:firstLine="567"/>
        <w:jc w:val="both"/>
      </w:pPr>
      <w:r>
        <w:t>Копия акта проверки направлена Главе Каргасокского района</w:t>
      </w:r>
      <w:r w:rsidR="00A940B2">
        <w:t>.</w:t>
      </w:r>
      <w:r>
        <w:t xml:space="preserve"> </w:t>
      </w:r>
    </w:p>
    <w:p w:rsidR="00911E87" w:rsidRDefault="00911E87" w:rsidP="00911E87">
      <w:pPr>
        <w:ind w:firstLine="567"/>
        <w:jc w:val="both"/>
      </w:pPr>
      <w:r>
        <w:t xml:space="preserve">Материалы проверки </w:t>
      </w:r>
      <w:r w:rsidR="00A940B2">
        <w:t xml:space="preserve">войдут </w:t>
      </w:r>
      <w:r>
        <w:t>в информацию</w:t>
      </w:r>
      <w:r w:rsidR="00076034">
        <w:t xml:space="preserve"> о работе Контрольного органа</w:t>
      </w:r>
      <w:r>
        <w:t>,</w:t>
      </w:r>
      <w:r w:rsidR="00A940B2">
        <w:t xml:space="preserve"> которая будет</w:t>
      </w:r>
      <w:r>
        <w:t xml:space="preserve"> представлен</w:t>
      </w:r>
      <w:r w:rsidR="00A940B2">
        <w:t>а</w:t>
      </w:r>
      <w:r>
        <w:t xml:space="preserve"> на </w:t>
      </w:r>
      <w:r w:rsidR="00A940B2">
        <w:t xml:space="preserve">очередном </w:t>
      </w:r>
      <w:r>
        <w:t>заседании Думы Каргасокского района</w:t>
      </w:r>
      <w:r w:rsidR="00A940B2">
        <w:t xml:space="preserve"> в 2017 году.</w:t>
      </w:r>
    </w:p>
    <w:p w:rsidR="00A940B2" w:rsidRDefault="00A940B2" w:rsidP="00911E87">
      <w:pPr>
        <w:ind w:firstLine="567"/>
        <w:jc w:val="both"/>
      </w:pPr>
    </w:p>
    <w:p w:rsidR="00A940B2" w:rsidRDefault="00A940B2" w:rsidP="00911E87">
      <w:pPr>
        <w:ind w:firstLine="567"/>
        <w:jc w:val="both"/>
      </w:pPr>
    </w:p>
    <w:p w:rsidR="00911E87" w:rsidRDefault="00911E87" w:rsidP="00911E87">
      <w:pPr>
        <w:ind w:firstLine="567"/>
        <w:jc w:val="both"/>
      </w:pPr>
    </w:p>
    <w:p w:rsidR="00911E87" w:rsidRPr="004600C7" w:rsidRDefault="00911E87" w:rsidP="00911E87">
      <w:pPr>
        <w:ind w:firstLine="567"/>
        <w:jc w:val="both"/>
      </w:pPr>
      <w:r w:rsidRPr="00B24DA7">
        <w:t>Председатель _____________________ /Ю.А.Машковцев/</w:t>
      </w:r>
    </w:p>
    <w:p w:rsidR="00B43BD9" w:rsidRDefault="00B43BD9" w:rsidP="00B43BD9">
      <w:pPr>
        <w:autoSpaceDE w:val="0"/>
        <w:autoSpaceDN w:val="0"/>
        <w:adjustRightInd w:val="0"/>
        <w:ind w:firstLine="567"/>
      </w:pPr>
    </w:p>
    <w:p w:rsidR="00771848" w:rsidRDefault="00771848" w:rsidP="00771848">
      <w:pPr>
        <w:ind w:firstLine="567"/>
        <w:jc w:val="both"/>
        <w:rPr>
          <w:b/>
        </w:rPr>
      </w:pPr>
    </w:p>
    <w:p w:rsidR="00500F7F" w:rsidRDefault="00500F7F"/>
    <w:sectPr w:rsidR="00500F7F" w:rsidSect="00500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12" w:rsidRDefault="007B2C12" w:rsidP="007B2C12">
      <w:r>
        <w:separator/>
      </w:r>
    </w:p>
  </w:endnote>
  <w:endnote w:type="continuationSeparator" w:id="0">
    <w:p w:rsidR="007B2C12" w:rsidRDefault="007B2C12" w:rsidP="007B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2" w:rsidRDefault="007B2C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2" w:rsidRDefault="007B2C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2" w:rsidRDefault="007B2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12" w:rsidRDefault="007B2C12" w:rsidP="007B2C12">
      <w:r>
        <w:separator/>
      </w:r>
    </w:p>
  </w:footnote>
  <w:footnote w:type="continuationSeparator" w:id="0">
    <w:p w:rsidR="007B2C12" w:rsidRDefault="007B2C12" w:rsidP="007B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2" w:rsidRDefault="007B2C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156141"/>
      <w:docPartObj>
        <w:docPartGallery w:val="Page Numbers (Top of Page)"/>
        <w:docPartUnique/>
      </w:docPartObj>
    </w:sdtPr>
    <w:sdtEndPr/>
    <w:sdtContent>
      <w:p w:rsidR="007B2C12" w:rsidRDefault="007B2C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DA">
          <w:rPr>
            <w:noProof/>
          </w:rPr>
          <w:t>4</w:t>
        </w:r>
        <w:r>
          <w:fldChar w:fldCharType="end"/>
        </w:r>
      </w:p>
    </w:sdtContent>
  </w:sdt>
  <w:p w:rsidR="007B2C12" w:rsidRDefault="007B2C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12" w:rsidRDefault="007B2C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8A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28AB"/>
    <w:rsid w:val="000646FC"/>
    <w:rsid w:val="000648AB"/>
    <w:rsid w:val="00064A7C"/>
    <w:rsid w:val="00067EFB"/>
    <w:rsid w:val="00071B50"/>
    <w:rsid w:val="00072B2F"/>
    <w:rsid w:val="000737FD"/>
    <w:rsid w:val="0007566F"/>
    <w:rsid w:val="00076034"/>
    <w:rsid w:val="00082C93"/>
    <w:rsid w:val="0008424F"/>
    <w:rsid w:val="0008435F"/>
    <w:rsid w:val="00085415"/>
    <w:rsid w:val="0009284D"/>
    <w:rsid w:val="00095E29"/>
    <w:rsid w:val="000A04B2"/>
    <w:rsid w:val="000A1C59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06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38A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3168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71848"/>
    <w:rsid w:val="00786F37"/>
    <w:rsid w:val="007870A7"/>
    <w:rsid w:val="00791710"/>
    <w:rsid w:val="00793B24"/>
    <w:rsid w:val="00793EDB"/>
    <w:rsid w:val="00794BD4"/>
    <w:rsid w:val="007A4F0A"/>
    <w:rsid w:val="007A51D4"/>
    <w:rsid w:val="007A7698"/>
    <w:rsid w:val="007A7F31"/>
    <w:rsid w:val="007B12C2"/>
    <w:rsid w:val="007B1409"/>
    <w:rsid w:val="007B2C12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8F75D7"/>
    <w:rsid w:val="00900305"/>
    <w:rsid w:val="00900469"/>
    <w:rsid w:val="00901985"/>
    <w:rsid w:val="00903EFD"/>
    <w:rsid w:val="009045D9"/>
    <w:rsid w:val="00906FAD"/>
    <w:rsid w:val="0091085F"/>
    <w:rsid w:val="009111F8"/>
    <w:rsid w:val="00911E87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16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40B2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3BD9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34CF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10CD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16B7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4DDA"/>
    <w:rsid w:val="00F46CD6"/>
    <w:rsid w:val="00F474C7"/>
    <w:rsid w:val="00F51873"/>
    <w:rsid w:val="00F523C7"/>
    <w:rsid w:val="00F53610"/>
    <w:rsid w:val="00F54BB6"/>
    <w:rsid w:val="00F55CA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84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2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2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a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us.gav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2016-12-27T04:09:00Z</dcterms:created>
  <dcterms:modified xsi:type="dcterms:W3CDTF">2016-12-29T02:43:00Z</dcterms:modified>
</cp:coreProperties>
</file>