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0" w:rsidRPr="00E1528D" w:rsidRDefault="000A3DC0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 xml:space="preserve">Настоящий Доклад подготовлен во исполнение Указа Президента Российской Федерации от 28 апреля 2008 г. № 607 «Об оценке </w:t>
      </w:r>
      <w:proofErr w:type="gramStart"/>
      <w:r w:rsidRPr="00E1528D">
        <w:rPr>
          <w:rStyle w:val="FontStyle40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E1528D">
        <w:rPr>
          <w:rStyle w:val="FontStyle40"/>
          <w:sz w:val="24"/>
          <w:szCs w:val="24"/>
        </w:rPr>
        <w:t xml:space="preserve"> и муниципальных районов».</w:t>
      </w:r>
    </w:p>
    <w:p w:rsidR="006F15B5" w:rsidRPr="00E1528D" w:rsidRDefault="000A3DC0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>При подготовке Доклада использованы официальные данные Росстата и Администрации Каргасокского района.</w:t>
      </w:r>
      <w:r w:rsidR="006F15B5" w:rsidRPr="00E1528D">
        <w:rPr>
          <w:rStyle w:val="FontStyle40"/>
          <w:sz w:val="24"/>
          <w:szCs w:val="24"/>
        </w:rPr>
        <w:t xml:space="preserve"> </w:t>
      </w:r>
    </w:p>
    <w:p w:rsidR="000A3DC0" w:rsidRPr="00E1528D" w:rsidRDefault="006F15B5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>Планируемые показатели на 2016-2018 годы приведены в соответствие со Стратегией социально-экономического развития муниципального образования «Каргасокский район» до 2025 года, утвержденной  решением Думы Каргасокского района от 25.02.2016 №40.</w:t>
      </w:r>
    </w:p>
    <w:p w:rsidR="00342592" w:rsidRPr="00E1528D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DC0" w:rsidRDefault="00E1528D" w:rsidP="00E1528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A3DC0" w:rsidRPr="00E1528D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:rsidR="002129C3" w:rsidRPr="00E1528D" w:rsidRDefault="002129C3" w:rsidP="00E1528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DC0" w:rsidRPr="00E1528D" w:rsidRDefault="00E1528D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C0" w:rsidRPr="00E1528D">
        <w:rPr>
          <w:rFonts w:ascii="Times New Roman" w:hAnsi="Times New Roman" w:cs="Times New Roman"/>
          <w:b/>
          <w:sz w:val="24"/>
          <w:szCs w:val="24"/>
        </w:rPr>
        <w:t>Число субъектов малого и среднего предпринимательства в расчете на 10 тыс. человек населения.</w:t>
      </w:r>
    </w:p>
    <w:p w:rsidR="00A3190E" w:rsidRPr="00E1528D" w:rsidRDefault="00A3190E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В 2015 году произошло снижение числа субъектов малого и среднего предпринимательства по причине прекращения деятельности индивидуальными предпринимателями. Динамика снижения количества индивидуальных предпринимателей обусловлена снижением покупательской способности, а также входом на рынок крупных конкурентов</w:t>
      </w:r>
      <w:r w:rsidR="006E2200">
        <w:rPr>
          <w:rFonts w:ascii="Times New Roman" w:hAnsi="Times New Roman" w:cs="Times New Roman"/>
          <w:sz w:val="24"/>
          <w:szCs w:val="24"/>
        </w:rPr>
        <w:t xml:space="preserve"> (ООО «Компания </w:t>
      </w:r>
      <w:proofErr w:type="spellStart"/>
      <w:r w:rsidR="006E2200">
        <w:rPr>
          <w:rFonts w:ascii="Times New Roman" w:hAnsi="Times New Roman" w:cs="Times New Roman"/>
          <w:sz w:val="24"/>
          <w:szCs w:val="24"/>
        </w:rPr>
        <w:t>Холидей</w:t>
      </w:r>
      <w:proofErr w:type="spellEnd"/>
      <w:r w:rsidR="006E2200">
        <w:rPr>
          <w:rFonts w:ascii="Times New Roman" w:hAnsi="Times New Roman" w:cs="Times New Roman"/>
          <w:sz w:val="24"/>
          <w:szCs w:val="24"/>
        </w:rPr>
        <w:t>»</w:t>
      </w:r>
      <w:r w:rsidR="00E06B0C">
        <w:rPr>
          <w:rFonts w:ascii="Times New Roman" w:hAnsi="Times New Roman" w:cs="Times New Roman"/>
          <w:sz w:val="24"/>
          <w:szCs w:val="24"/>
        </w:rPr>
        <w:t>)</w:t>
      </w:r>
      <w:r w:rsidRPr="00E1528D">
        <w:rPr>
          <w:rFonts w:ascii="Times New Roman" w:hAnsi="Times New Roman" w:cs="Times New Roman"/>
          <w:sz w:val="24"/>
          <w:szCs w:val="24"/>
        </w:rPr>
        <w:t xml:space="preserve">. По данным статистики 30 субъектов малого и среднего предпринимателей прекратили свою деятельность в 2015 году. </w:t>
      </w:r>
    </w:p>
    <w:p w:rsidR="00A3190E" w:rsidRPr="00E1528D" w:rsidRDefault="00A3190E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Рост показателя в плановом периоде 2016-2018 годах обусловлен снижением численности населения Каргасокского района. Число субъектов малого и среднего предпринимательства в 2016-2018 годах планируется с небольшим ростом. Данный показатель 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 достигнут за счет реализации мероприятий муниципальных программ (подпрограмм), направленных на развитие малого и среднего предпринимательства, действующих на территории Каргасокского района. В рамках данной программы проводятся конкурсы предпринимательских проектов на получение субсидии на развитие бизнеса, которые стимулируют образование новых субъектов малого и среднего предпринимательства.</w:t>
      </w:r>
    </w:p>
    <w:p w:rsidR="00065C38" w:rsidRPr="00E1528D" w:rsidRDefault="00065C38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E3" w:rsidRPr="00E1528D" w:rsidRDefault="00E1528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2B36" w:rsidRPr="00E1528D">
        <w:rPr>
          <w:rFonts w:ascii="Times New Roman" w:hAnsi="Times New Roman" w:cs="Times New Roman"/>
          <w:b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7F297C" w:rsidRDefault="007F297C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Увеличение данного показателя к уровню 2014 года составило 16,9%. Рост показателя обусловлен работой  комиссии по повышению доходной части бюджета. </w:t>
      </w:r>
      <w:r w:rsidR="00E55BC6" w:rsidRPr="00E1528D">
        <w:rPr>
          <w:rFonts w:ascii="Times New Roman" w:hAnsi="Times New Roman" w:cs="Times New Roman"/>
          <w:sz w:val="24"/>
          <w:szCs w:val="24"/>
        </w:rPr>
        <w:t xml:space="preserve">Итогом деятельности комиссии в 2015 году стало трудоустройство работодателями в соответствии с требованием трудового законодательства </w:t>
      </w:r>
      <w:r w:rsidR="00231627" w:rsidRPr="00E1528D">
        <w:rPr>
          <w:rFonts w:ascii="Times New Roman" w:hAnsi="Times New Roman" w:cs="Times New Roman"/>
          <w:sz w:val="24"/>
          <w:szCs w:val="24"/>
        </w:rPr>
        <w:t>402</w:t>
      </w:r>
      <w:r w:rsidR="00E55BC6" w:rsidRPr="00E1528D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096406">
        <w:rPr>
          <w:rFonts w:ascii="Times New Roman" w:hAnsi="Times New Roman" w:cs="Times New Roman"/>
          <w:sz w:val="24"/>
          <w:szCs w:val="24"/>
        </w:rPr>
        <w:t xml:space="preserve"> В дальнейшем планируется продолжить работу по выявлению неформально занятых граждан.</w:t>
      </w:r>
    </w:p>
    <w:p w:rsidR="00E1528D" w:rsidRPr="00E1528D" w:rsidRDefault="00E1528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DC0" w:rsidRPr="00E1528D" w:rsidRDefault="000A3DC0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</w:rPr>
        <w:t>3.</w:t>
      </w:r>
      <w:r w:rsidR="00E1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8D">
        <w:rPr>
          <w:rFonts w:ascii="Times New Roman" w:hAnsi="Times New Roman" w:cs="Times New Roman"/>
          <w:b/>
          <w:sz w:val="24"/>
          <w:szCs w:val="24"/>
        </w:rPr>
        <w:t xml:space="preserve"> Объем инвестиций в основной капитал (за исключением бюджетных средств) в расчете на 1 жителя</w:t>
      </w:r>
      <w:r w:rsidR="007F268C" w:rsidRPr="00E1528D">
        <w:rPr>
          <w:rFonts w:ascii="Times New Roman" w:hAnsi="Times New Roman" w:cs="Times New Roman"/>
          <w:b/>
          <w:sz w:val="24"/>
          <w:szCs w:val="24"/>
        </w:rPr>
        <w:t>.</w:t>
      </w:r>
    </w:p>
    <w:p w:rsidR="00102B36" w:rsidRPr="00E1528D" w:rsidRDefault="000A3DC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В 2015 году объем инвестиций в основной капитал (за исключением бюджетных средств) в расчете на 1 жителя составил 740 197 рублей (11</w:t>
      </w:r>
      <w:r w:rsidR="005047BF" w:rsidRPr="00E1528D">
        <w:rPr>
          <w:rFonts w:ascii="Times New Roman" w:hAnsi="Times New Roman" w:cs="Times New Roman"/>
          <w:sz w:val="24"/>
          <w:szCs w:val="24"/>
        </w:rPr>
        <w:t>9</w:t>
      </w:r>
      <w:r w:rsidRPr="00E1528D">
        <w:rPr>
          <w:rFonts w:ascii="Times New Roman" w:hAnsi="Times New Roman" w:cs="Times New Roman"/>
          <w:sz w:val="24"/>
          <w:szCs w:val="24"/>
        </w:rPr>
        <w:t>,</w:t>
      </w:r>
      <w:r w:rsidR="005047BF" w:rsidRPr="00E1528D">
        <w:rPr>
          <w:rFonts w:ascii="Times New Roman" w:hAnsi="Times New Roman" w:cs="Times New Roman"/>
          <w:sz w:val="24"/>
          <w:szCs w:val="24"/>
        </w:rPr>
        <w:t>2</w:t>
      </w:r>
      <w:r w:rsidRPr="00E1528D">
        <w:rPr>
          <w:rFonts w:ascii="Times New Roman" w:hAnsi="Times New Roman" w:cs="Times New Roman"/>
          <w:sz w:val="24"/>
          <w:szCs w:val="24"/>
        </w:rPr>
        <w:t>9% по отношению к 2014 году). Доля инвестиций по разделу ОКВЭД «Добыча полезных ископаемых» составля</w:t>
      </w:r>
      <w:r w:rsidR="005047BF" w:rsidRPr="00E1528D">
        <w:rPr>
          <w:rFonts w:ascii="Times New Roman" w:hAnsi="Times New Roman" w:cs="Times New Roman"/>
          <w:sz w:val="24"/>
          <w:szCs w:val="24"/>
        </w:rPr>
        <w:t>е</w:t>
      </w:r>
      <w:r w:rsidRPr="00E1528D">
        <w:rPr>
          <w:rFonts w:ascii="Times New Roman" w:hAnsi="Times New Roman" w:cs="Times New Roman"/>
          <w:sz w:val="24"/>
          <w:szCs w:val="24"/>
        </w:rPr>
        <w:t xml:space="preserve">т </w:t>
      </w:r>
      <w:r w:rsidR="005047BF" w:rsidRPr="00E1528D">
        <w:rPr>
          <w:rFonts w:ascii="Times New Roman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hAnsi="Times New Roman" w:cs="Times New Roman"/>
          <w:sz w:val="24"/>
          <w:szCs w:val="24"/>
        </w:rPr>
        <w:t>9</w:t>
      </w:r>
      <w:r w:rsidR="005047BF" w:rsidRPr="00E1528D">
        <w:rPr>
          <w:rFonts w:ascii="Times New Roman" w:hAnsi="Times New Roman" w:cs="Times New Roman"/>
          <w:sz w:val="24"/>
          <w:szCs w:val="24"/>
        </w:rPr>
        <w:t>2,7</w:t>
      </w:r>
      <w:r w:rsidRPr="00E1528D">
        <w:rPr>
          <w:rFonts w:ascii="Times New Roman" w:hAnsi="Times New Roman" w:cs="Times New Roman"/>
          <w:sz w:val="24"/>
          <w:szCs w:val="24"/>
        </w:rPr>
        <w:t xml:space="preserve">%. Данный вид деятельности на территории района осуществляют следующие организации: </w:t>
      </w:r>
      <w:r w:rsidR="005047BF" w:rsidRPr="00E1528D">
        <w:rPr>
          <w:rFonts w:ascii="Times New Roman" w:eastAsia="Calibri" w:hAnsi="Times New Roman" w:cs="Times New Roman"/>
          <w:sz w:val="24"/>
          <w:szCs w:val="24"/>
        </w:rPr>
        <w:t>ОАО «ТНГК»</w:t>
      </w:r>
      <w:r w:rsidR="005047BF" w:rsidRPr="00E1528D">
        <w:rPr>
          <w:rFonts w:ascii="Times New Roman" w:hAnsi="Times New Roman" w:cs="Times New Roman"/>
          <w:sz w:val="24"/>
          <w:szCs w:val="24"/>
        </w:rPr>
        <w:t xml:space="preserve">, </w:t>
      </w:r>
      <w:r w:rsidR="005047BF" w:rsidRPr="00E1528D">
        <w:rPr>
          <w:rFonts w:ascii="Times New Roman" w:eastAsia="Calibri" w:hAnsi="Times New Roman" w:cs="Times New Roman"/>
          <w:sz w:val="24"/>
          <w:szCs w:val="24"/>
        </w:rPr>
        <w:t>ООО «ННК-ВТК»</w:t>
      </w:r>
      <w:r w:rsidRPr="00E1528D">
        <w:rPr>
          <w:rFonts w:ascii="Times New Roman" w:hAnsi="Times New Roman" w:cs="Times New Roman"/>
          <w:sz w:val="24"/>
          <w:szCs w:val="24"/>
        </w:rPr>
        <w:t>, ОАО 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Томскгазпром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Газпромнефть-Восток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», </w:t>
      </w:r>
      <w:r w:rsidR="005047BF" w:rsidRPr="00E1528D">
        <w:rPr>
          <w:rFonts w:ascii="Times New Roman" w:hAnsi="Times New Roman" w:cs="Times New Roman"/>
          <w:sz w:val="24"/>
          <w:szCs w:val="24"/>
        </w:rPr>
        <w:t xml:space="preserve"> </w:t>
      </w:r>
      <w:r w:rsidR="005047BF" w:rsidRPr="00E1528D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5047BF" w:rsidRPr="00E1528D">
        <w:rPr>
          <w:rFonts w:ascii="Times New Roman" w:eastAsia="Calibri" w:hAnsi="Times New Roman" w:cs="Times New Roman"/>
          <w:sz w:val="24"/>
          <w:szCs w:val="24"/>
        </w:rPr>
        <w:t>Альянснефтегаз</w:t>
      </w:r>
      <w:proofErr w:type="spellEnd"/>
      <w:r w:rsidR="005047BF" w:rsidRPr="00E1528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5047BF" w:rsidRPr="00E1528D">
        <w:rPr>
          <w:rFonts w:ascii="Times New Roman" w:hAnsi="Times New Roman" w:cs="Times New Roman"/>
          <w:sz w:val="24"/>
          <w:szCs w:val="24"/>
        </w:rPr>
        <w:t xml:space="preserve"> </w:t>
      </w:r>
      <w:r w:rsidR="005047BF" w:rsidRPr="00E1528D">
        <w:rPr>
          <w:rFonts w:ascii="Times New Roman" w:eastAsia="Calibri" w:hAnsi="Times New Roman" w:cs="Times New Roman"/>
          <w:sz w:val="24"/>
          <w:szCs w:val="24"/>
        </w:rPr>
        <w:t>ООО «Норд Империал», ООО «</w:t>
      </w:r>
      <w:proofErr w:type="spellStart"/>
      <w:r w:rsidR="005047BF" w:rsidRPr="00E1528D">
        <w:rPr>
          <w:rFonts w:ascii="Times New Roman" w:eastAsia="Calibri" w:hAnsi="Times New Roman" w:cs="Times New Roman"/>
          <w:sz w:val="24"/>
          <w:szCs w:val="24"/>
        </w:rPr>
        <w:t>СН-Газдобыча</w:t>
      </w:r>
      <w:proofErr w:type="spellEnd"/>
      <w:r w:rsidR="005047BF" w:rsidRPr="00E1528D">
        <w:rPr>
          <w:rFonts w:ascii="Times New Roman" w:eastAsia="Calibri" w:hAnsi="Times New Roman" w:cs="Times New Roman"/>
          <w:sz w:val="24"/>
          <w:szCs w:val="24"/>
        </w:rPr>
        <w:t>»</w:t>
      </w:r>
      <w:r w:rsidR="005047BF" w:rsidRPr="00E1528D">
        <w:rPr>
          <w:rFonts w:ascii="Times New Roman" w:hAnsi="Times New Roman" w:cs="Times New Roman"/>
          <w:sz w:val="24"/>
          <w:szCs w:val="24"/>
        </w:rPr>
        <w:t xml:space="preserve">, </w:t>
      </w:r>
      <w:r w:rsidR="005047BF" w:rsidRPr="00E1528D">
        <w:rPr>
          <w:rFonts w:ascii="Times New Roman" w:eastAsia="Calibri" w:hAnsi="Times New Roman" w:cs="Times New Roman"/>
          <w:sz w:val="24"/>
          <w:szCs w:val="24"/>
        </w:rPr>
        <w:t>ООО «Томская нефть»</w:t>
      </w:r>
      <w:r w:rsidR="005047BF" w:rsidRPr="00E1528D">
        <w:rPr>
          <w:rFonts w:ascii="Times New Roman" w:hAnsi="Times New Roman" w:cs="Times New Roman"/>
          <w:sz w:val="24"/>
          <w:szCs w:val="24"/>
        </w:rPr>
        <w:t xml:space="preserve">. </w:t>
      </w:r>
      <w:r w:rsidRPr="00E1528D">
        <w:rPr>
          <w:rFonts w:ascii="Times New Roman" w:hAnsi="Times New Roman" w:cs="Times New Roman"/>
          <w:sz w:val="24"/>
          <w:szCs w:val="24"/>
        </w:rPr>
        <w:t xml:space="preserve"> </w:t>
      </w:r>
      <w:r w:rsidR="0029075F" w:rsidRPr="00E1528D">
        <w:rPr>
          <w:rFonts w:ascii="Times New Roman" w:hAnsi="Times New Roman" w:cs="Times New Roman"/>
          <w:sz w:val="24"/>
          <w:szCs w:val="24"/>
        </w:rPr>
        <w:t>Основная доля и</w:t>
      </w:r>
      <w:r w:rsidRPr="00E1528D">
        <w:rPr>
          <w:rFonts w:ascii="Times New Roman" w:hAnsi="Times New Roman" w:cs="Times New Roman"/>
          <w:sz w:val="24"/>
          <w:szCs w:val="24"/>
        </w:rPr>
        <w:t>нв</w:t>
      </w:r>
      <w:r w:rsidR="0029075F" w:rsidRPr="00E1528D">
        <w:rPr>
          <w:rFonts w:ascii="Times New Roman" w:hAnsi="Times New Roman" w:cs="Times New Roman"/>
          <w:sz w:val="24"/>
          <w:szCs w:val="24"/>
        </w:rPr>
        <w:t>естиции организаций осуществляла</w:t>
      </w:r>
      <w:r w:rsidRPr="00E1528D">
        <w:rPr>
          <w:rFonts w:ascii="Times New Roman" w:hAnsi="Times New Roman" w:cs="Times New Roman"/>
          <w:sz w:val="24"/>
          <w:szCs w:val="24"/>
        </w:rPr>
        <w:t>сь по направлениям: «Сооружения», «Машины и оборудование»</w:t>
      </w:r>
      <w:r w:rsidR="0029075F" w:rsidRPr="00E1528D">
        <w:rPr>
          <w:rFonts w:ascii="Times New Roman" w:hAnsi="Times New Roman" w:cs="Times New Roman"/>
          <w:sz w:val="24"/>
          <w:szCs w:val="24"/>
        </w:rPr>
        <w:t>, «Прочие»</w:t>
      </w:r>
      <w:r w:rsidRPr="00E1528D">
        <w:rPr>
          <w:rFonts w:ascii="Times New Roman" w:hAnsi="Times New Roman" w:cs="Times New Roman"/>
          <w:sz w:val="24"/>
          <w:szCs w:val="24"/>
        </w:rPr>
        <w:t>.</w:t>
      </w:r>
    </w:p>
    <w:p w:rsidR="00520BF3" w:rsidRDefault="00520BF3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464" w:rsidRPr="00E1528D" w:rsidRDefault="00E1528D" w:rsidP="00E1528D">
      <w:pPr>
        <w:pStyle w:val="a4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B33464" w:rsidRPr="00E1528D">
        <w:rPr>
          <w:rFonts w:ascii="Times New Roman" w:hAnsi="Times New Roman" w:cs="Times New Roman"/>
          <w:b/>
          <w:sz w:val="24"/>
          <w:szCs w:val="24"/>
        </w:rPr>
        <w:t>Д</w:t>
      </w:r>
      <w:r w:rsidR="00B33464" w:rsidRPr="00E1528D">
        <w:rPr>
          <w:rFonts w:ascii="Times New Roman" w:hAnsi="Times New Roman" w:cs="Times New Roman"/>
          <w:b/>
          <w:iCs/>
          <w:sz w:val="24"/>
          <w:szCs w:val="24"/>
        </w:rPr>
        <w:t>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B33464" w:rsidRPr="00E1528D" w:rsidRDefault="00B33464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proofErr w:type="gramStart"/>
      <w:r w:rsidRPr="00E1528D">
        <w:rPr>
          <w:rStyle w:val="FontStyle40"/>
          <w:sz w:val="24"/>
          <w:szCs w:val="24"/>
        </w:rPr>
        <w:t>Общая площадь территории муниципального района, подлежащая налогообложению в соответствии с действующим законодательством составляет</w:t>
      </w:r>
      <w:proofErr w:type="gramEnd"/>
      <w:r w:rsidRPr="00E1528D">
        <w:rPr>
          <w:rStyle w:val="FontStyle40"/>
          <w:sz w:val="24"/>
          <w:szCs w:val="24"/>
        </w:rPr>
        <w:t xml:space="preserve"> 156970 га. Основная часть площадей земельных участков, предоставленных в собственность и являющихся объектами налогообложения земельным налогом, принадлежит гражданам.</w:t>
      </w:r>
    </w:p>
    <w:p w:rsidR="00F511D1" w:rsidRPr="00E1528D" w:rsidRDefault="00F511D1" w:rsidP="00E1528D">
      <w:pPr>
        <w:pStyle w:val="a4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02B36" w:rsidRPr="00024DEE" w:rsidRDefault="00024DEE" w:rsidP="00E1528D">
      <w:pPr>
        <w:pStyle w:val="a4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4DEE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  <w:r w:rsidR="00102B36" w:rsidRPr="00024DEE">
        <w:rPr>
          <w:rFonts w:ascii="Times New Roman" w:hAnsi="Times New Roman" w:cs="Times New Roman"/>
          <w:b/>
          <w:iCs/>
          <w:sz w:val="24"/>
          <w:szCs w:val="24"/>
        </w:rPr>
        <w:t xml:space="preserve">Доля прибыльных сельскохозяйственных </w:t>
      </w:r>
      <w:proofErr w:type="gramStart"/>
      <w:r w:rsidR="00102B36" w:rsidRPr="00024DEE">
        <w:rPr>
          <w:rFonts w:ascii="Times New Roman" w:hAnsi="Times New Roman" w:cs="Times New Roman"/>
          <w:b/>
          <w:iCs/>
          <w:sz w:val="24"/>
          <w:szCs w:val="24"/>
        </w:rPr>
        <w:t>организаций</w:t>
      </w:r>
      <w:proofErr w:type="gramEnd"/>
      <w:r w:rsidR="00102B36" w:rsidRPr="00024DEE">
        <w:rPr>
          <w:rFonts w:ascii="Times New Roman" w:hAnsi="Times New Roman" w:cs="Times New Roman"/>
          <w:b/>
          <w:iCs/>
          <w:sz w:val="24"/>
          <w:szCs w:val="24"/>
        </w:rPr>
        <w:t xml:space="preserve"> в общем их числе.</w:t>
      </w:r>
    </w:p>
    <w:p w:rsidR="00102B36" w:rsidRPr="00E1528D" w:rsidRDefault="00102B36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024DEE">
        <w:rPr>
          <w:rFonts w:ascii="Times New Roman" w:hAnsi="Times New Roman" w:cs="Times New Roman"/>
          <w:sz w:val="24"/>
          <w:szCs w:val="24"/>
        </w:rPr>
        <w:t>Сельское хозяйство как самостоятельная отрасль в настоящее время не имеет существенного значения для экономики района. Суровые погодные условия, удалённость, ограниченность пригодных для использования земель в совокупности с развитием в районе других более высокодоходных видов деятельности привели к свёртыванию производственной сельскохозяйственной деятельности</w:t>
      </w:r>
      <w:r w:rsidRPr="00024DEE">
        <w:rPr>
          <w:rStyle w:val="FontStyle40"/>
          <w:sz w:val="24"/>
          <w:szCs w:val="24"/>
        </w:rPr>
        <w:t>. По этой причине на территории Каргасокского района нет сельскохозяйственных организаций, осуществляющих хозяйственную  деятельность.</w:t>
      </w:r>
    </w:p>
    <w:p w:rsidR="00102B36" w:rsidRPr="00E1528D" w:rsidRDefault="00102B36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102B36" w:rsidRPr="00E1528D" w:rsidRDefault="00E1528D" w:rsidP="00E1528D">
      <w:pPr>
        <w:pStyle w:val="a4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7. </w:t>
      </w:r>
      <w:r w:rsidR="00102B36" w:rsidRPr="00E1528D">
        <w:rPr>
          <w:rFonts w:ascii="Times New Roman" w:hAnsi="Times New Roman" w:cs="Times New Roman"/>
          <w:b/>
          <w:iCs/>
          <w:sz w:val="24"/>
          <w:szCs w:val="24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102B36" w:rsidRPr="00E1528D" w:rsidRDefault="00102B36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>В силу своего географического расположения, Каргасокский район характеризуется слабым развитием автодорожной сети. Автомобильные дороги имеют недостаточную прочность дорожных одежд (4-6 т. на ось). Удельный вес автомобильных дорог с усовершенствованным покрытием в общей протяженности дорог с твердым покрытием составляет 12,8%.</w:t>
      </w:r>
    </w:p>
    <w:p w:rsidR="00102B36" w:rsidRPr="00E1528D" w:rsidRDefault="00102B36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>Транспортная схема Каргасокского района не позволяет в полной мере обеспечить жителей населенных пунктов регулярным круглогодичным автомобильным сообщением с районным центром. 8</w:t>
      </w:r>
      <w:r w:rsidR="007F268C" w:rsidRPr="00E1528D">
        <w:rPr>
          <w:rStyle w:val="FontStyle40"/>
          <w:sz w:val="24"/>
          <w:szCs w:val="24"/>
        </w:rPr>
        <w:t>007</w:t>
      </w:r>
      <w:r w:rsidRPr="00E1528D">
        <w:rPr>
          <w:rStyle w:val="FontStyle40"/>
          <w:sz w:val="24"/>
          <w:szCs w:val="24"/>
        </w:rPr>
        <w:t xml:space="preserve"> человек проживаю</w:t>
      </w:r>
      <w:r w:rsidR="00B3560F">
        <w:rPr>
          <w:rStyle w:val="FontStyle40"/>
          <w:sz w:val="24"/>
          <w:szCs w:val="24"/>
        </w:rPr>
        <w:t>т</w:t>
      </w:r>
      <w:r w:rsidRPr="00E1528D">
        <w:rPr>
          <w:rStyle w:val="FontStyle40"/>
          <w:sz w:val="24"/>
          <w:szCs w:val="24"/>
        </w:rPr>
        <w:t xml:space="preserve"> в отдаленных населенных пунктах, не имеющих регулярного автобусного сообщения с районным центром из-за отсутствия дорог и мостовых переходов через многочисленные таежные реки.</w:t>
      </w:r>
    </w:p>
    <w:p w:rsidR="00102B36" w:rsidRPr="00E1528D" w:rsidRDefault="00102B36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>Перспективы для развития автотранспортной схемы в районе откроются со строительством и вводом в эксплуатацию Северной широтной дороги, вследствие чего автомобильная сеть района существенно расширится в западном направлении.</w:t>
      </w:r>
    </w:p>
    <w:p w:rsidR="00F85E3E" w:rsidRPr="00E1528D" w:rsidRDefault="00F85E3E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F85E3E" w:rsidRPr="00E1528D" w:rsidRDefault="001A6B81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85E3E" w:rsidRPr="00E1528D">
        <w:rPr>
          <w:rFonts w:ascii="Times New Roman" w:hAnsi="Times New Roman" w:cs="Times New Roman"/>
          <w:b/>
          <w:sz w:val="24"/>
          <w:szCs w:val="24"/>
        </w:rPr>
        <w:t>Среднемесячная номинальная начислен</w:t>
      </w:r>
      <w:r w:rsidR="00DB5B50">
        <w:rPr>
          <w:rFonts w:ascii="Times New Roman" w:hAnsi="Times New Roman" w:cs="Times New Roman"/>
          <w:b/>
          <w:sz w:val="24"/>
          <w:szCs w:val="24"/>
        </w:rPr>
        <w:t>ная заработная плата работников.</w:t>
      </w:r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Среднемесячная начисленная заработная плата работников муниципальных  дошкольных учреждений в 2013 году составила 19 786,90 руб.; 2014 году – 22 951,40 руб.; 2015 году – 24 544,9 руб. Среднемесячная начисленная заработная плата всех работников муниципальных общеобразовательных учреждений в 2013 году составила 29 508,7 руб.; 2014 году – 32 934,70 руб.; 2015 году – 32 993,90 руб., из них учителей в 2013г. – 40 565,8 руб.,  в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2014г. – 44 265 руб., в 2015г. – 44 072 руб.  Увеличение средней заработной платы 2015 году обусловлено рядом факторов. Согласно Указам Президента Российской Федерации от 7 мая 2012 года №597 «О мероприятиях по реализации государственной социальной политики» и №599 «О мерах по реализации государственной политики в области образования и науки»,  предусматривающих обеспечение доведения средней заработной платы педагогических работников образовательных учреждений до средней заработной платы в соответствующем регионе, было заключено соглашение о взаимодействии по реализации плана мероприятий («дорожной карты») «Изменения в сфере образования в муниципальном образовании «Каргасокский район». В рамках данного соглашения были выделены из областного бюджета дополнительные средства в сумме 37 млн. 251 тыс. руб. По итогам 2015 года обязательства по исполнению уровня </w:t>
      </w:r>
      <w:r w:rsidRPr="00E1528D">
        <w:rPr>
          <w:rFonts w:ascii="Times New Roman" w:eastAsia="Calibri" w:hAnsi="Times New Roman" w:cs="Times New Roman"/>
          <w:sz w:val="24"/>
          <w:szCs w:val="24"/>
        </w:rPr>
        <w:lastRenderedPageBreak/>
        <w:t>средней заработной платы выполнены в полном объеме.</w:t>
      </w:r>
      <w:r w:rsidR="001D5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Таким образом, поэтапное использование различного инструментария повышения заработной платы позволило существенно увеличить уровень средней заработной платы сотрудников образовательных учреждений. </w:t>
      </w:r>
    </w:p>
    <w:p w:rsidR="00DB5B50" w:rsidRPr="00E1528D" w:rsidRDefault="00DB5B50" w:rsidP="00DB5B5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28D">
        <w:rPr>
          <w:rFonts w:ascii="Times New Roman" w:hAnsi="Times New Roman" w:cs="Times New Roman"/>
          <w:sz w:val="24"/>
          <w:szCs w:val="24"/>
        </w:rPr>
        <w:t>С целью выполнения  Указа Президента Российской Федерации от 07.05.2012 года  №597 «О мероприятиях по реализации государственной социальной политики»  и  плана мероприятий («дорожной карты») «Изменения в отраслях социальной сферы, направленные на повышение эффективности  сферы культуры», утвержденного распоряжением Правительства  Российской Федерации от 28 декабря 2012 года № 2606-р</w:t>
      </w:r>
      <w:r w:rsidR="00B3560F">
        <w:rPr>
          <w:rFonts w:ascii="Times New Roman" w:hAnsi="Times New Roman" w:cs="Times New Roman"/>
          <w:sz w:val="24"/>
          <w:szCs w:val="24"/>
        </w:rPr>
        <w:t>,</w:t>
      </w:r>
      <w:r w:rsidRPr="00E1528D">
        <w:rPr>
          <w:rFonts w:ascii="Times New Roman" w:hAnsi="Times New Roman" w:cs="Times New Roman"/>
          <w:sz w:val="24"/>
          <w:szCs w:val="24"/>
        </w:rPr>
        <w:t xml:space="preserve">  постановлени</w:t>
      </w:r>
      <w:r w:rsidR="001A0EE2">
        <w:rPr>
          <w:rFonts w:ascii="Times New Roman" w:hAnsi="Times New Roman" w:cs="Times New Roman"/>
          <w:sz w:val="24"/>
          <w:szCs w:val="24"/>
        </w:rPr>
        <w:t>ем</w:t>
      </w:r>
      <w:r w:rsidRPr="00E1528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08.04.2013 года </w:t>
      </w:r>
      <w:r w:rsidRPr="001A0EE2">
        <w:rPr>
          <w:rFonts w:ascii="Times New Roman" w:hAnsi="Times New Roman" w:cs="Times New Roman"/>
          <w:sz w:val="24"/>
          <w:szCs w:val="24"/>
        </w:rPr>
        <w:t>№ 96</w:t>
      </w:r>
      <w:r w:rsidRPr="00E152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5"/>
      <w:bookmarkStart w:id="1" w:name="OLE_LINK6"/>
      <w:r w:rsidR="001A0EE2" w:rsidRPr="001A0EE2">
        <w:rPr>
          <w:rFonts w:ascii="Times New Roman" w:hAnsi="Times New Roman" w:cs="Times New Roman"/>
          <w:sz w:val="24"/>
          <w:szCs w:val="24"/>
        </w:rPr>
        <w:t>«Об утверждении</w:t>
      </w:r>
      <w:r w:rsidR="001A0EE2" w:rsidRPr="001A0EE2">
        <w:rPr>
          <w:rFonts w:ascii="Times New Roman" w:hAnsi="Times New Roman" w:cs="Times New Roman"/>
          <w:color w:val="000000"/>
          <w:sz w:val="24"/>
          <w:szCs w:val="24"/>
        </w:rPr>
        <w:t xml:space="preserve"> плана мероприятий ("дорожная карта") "Изменения</w:t>
      </w:r>
      <w:proofErr w:type="gramEnd"/>
      <w:r w:rsidR="001A0EE2" w:rsidRPr="001A0EE2">
        <w:rPr>
          <w:rFonts w:ascii="Times New Roman" w:hAnsi="Times New Roman" w:cs="Times New Roman"/>
          <w:color w:val="000000"/>
          <w:sz w:val="24"/>
          <w:szCs w:val="24"/>
        </w:rPr>
        <w:t xml:space="preserve"> в сфере культуры, направленные на повышение ее эффективности в </w:t>
      </w:r>
      <w:proofErr w:type="spellStart"/>
      <w:r w:rsidR="001A0EE2" w:rsidRPr="001A0EE2">
        <w:rPr>
          <w:rFonts w:ascii="Times New Roman" w:hAnsi="Times New Roman" w:cs="Times New Roman"/>
          <w:color w:val="000000"/>
          <w:sz w:val="24"/>
          <w:szCs w:val="24"/>
        </w:rPr>
        <w:t>Каргасокском</w:t>
      </w:r>
      <w:proofErr w:type="spellEnd"/>
      <w:r w:rsidR="001A0EE2" w:rsidRPr="001A0EE2">
        <w:rPr>
          <w:rFonts w:ascii="Times New Roman" w:hAnsi="Times New Roman" w:cs="Times New Roman"/>
          <w:color w:val="000000"/>
          <w:sz w:val="24"/>
          <w:szCs w:val="24"/>
        </w:rPr>
        <w:t xml:space="preserve"> районе"</w:t>
      </w:r>
      <w:bookmarkEnd w:id="0"/>
      <w:bookmarkEnd w:id="1"/>
      <w:r w:rsidR="001A0EE2" w:rsidRPr="001A0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EE2">
        <w:rPr>
          <w:rFonts w:ascii="Times New Roman" w:hAnsi="Times New Roman" w:cs="Times New Roman"/>
          <w:sz w:val="24"/>
          <w:szCs w:val="24"/>
        </w:rPr>
        <w:t xml:space="preserve">  утвержден</w:t>
      </w:r>
      <w:r w:rsidRPr="001A0EE2">
        <w:rPr>
          <w:rFonts w:ascii="Times New Roman" w:hAnsi="Times New Roman" w:cs="Times New Roman"/>
          <w:color w:val="000000"/>
          <w:sz w:val="24"/>
          <w:szCs w:val="24"/>
        </w:rPr>
        <w:t xml:space="preserve"> план мероприятий ("дорожная карта")</w:t>
      </w:r>
      <w:r w:rsidRPr="00E1528D">
        <w:rPr>
          <w:rFonts w:ascii="Times New Roman" w:hAnsi="Times New Roman" w:cs="Times New Roman"/>
          <w:color w:val="000000"/>
          <w:sz w:val="24"/>
          <w:szCs w:val="24"/>
        </w:rPr>
        <w:t xml:space="preserve">. Одной из основных целей Плана мероприятий «дорожная карта» является   </w:t>
      </w:r>
      <w:r w:rsidRPr="00E1528D">
        <w:rPr>
          <w:rFonts w:ascii="Times New Roman" w:hAnsi="Times New Roman" w:cs="Times New Roman"/>
          <w:sz w:val="24"/>
          <w:szCs w:val="24"/>
        </w:rPr>
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области.</w:t>
      </w:r>
      <w:r w:rsidRPr="00E1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8D">
        <w:rPr>
          <w:rFonts w:ascii="Times New Roman" w:hAnsi="Times New Roman" w:cs="Times New Roman"/>
          <w:sz w:val="24"/>
          <w:szCs w:val="24"/>
        </w:rPr>
        <w:t>Согласно нормативным документам в 2015 году</w:t>
      </w:r>
      <w:r w:rsidRPr="00E1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8D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начисленная  заработная плата работников муниципальных учреждений культуры составила 28 200 руб.,  в 2018 году планируется увеличение  до 62 412  рублей. </w:t>
      </w:r>
    </w:p>
    <w:p w:rsidR="009E0155" w:rsidRPr="00E1528D" w:rsidRDefault="009E0155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6A4FCD" w:rsidRDefault="001A6B81" w:rsidP="001A6B8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528D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2129C3" w:rsidRPr="00E1528D" w:rsidRDefault="002129C3" w:rsidP="001A6B8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797" w:rsidRPr="00E1528D" w:rsidRDefault="001A6B81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6A4FCD" w:rsidRPr="00E1528D">
        <w:rPr>
          <w:rFonts w:ascii="Times New Roman" w:eastAsia="Calibri" w:hAnsi="Times New Roman" w:cs="Times New Roman"/>
          <w:b/>
          <w:sz w:val="24"/>
          <w:szCs w:val="24"/>
        </w:rPr>
        <w:t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1-6 лет.</w:t>
      </w:r>
    </w:p>
    <w:p w:rsidR="001D5E34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Система дошкольного образования в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Каргасокском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районе включает 12 дошкольных образовательных учреждений, 11 групп  при 10  общеобразовательных  учреждениях,  которые в 2015</w:t>
      </w:r>
      <w:r w:rsidR="006E2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году посещали 1179 детей в возрасте от 1,5 до 7 лет.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(По данному показателю сложилось расхождение с показателями Росстата.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Так, по данным Росстата численность детей в возрасте от 1 до 6 лет, зарегистрированных на территории Каргасокского района, составляет 1835 человек, но </w:t>
      </w:r>
      <w:r w:rsidR="001D5E34" w:rsidRPr="00E1528D">
        <w:rPr>
          <w:rFonts w:ascii="Times New Roman" w:eastAsia="Calibri" w:hAnsi="Times New Roman" w:cs="Times New Roman"/>
          <w:sz w:val="24"/>
          <w:szCs w:val="24"/>
        </w:rPr>
        <w:t xml:space="preserve">фактически по данным </w:t>
      </w:r>
      <w:r w:rsidR="001D5E34">
        <w:rPr>
          <w:rFonts w:ascii="Times New Roman" w:eastAsia="Calibri" w:hAnsi="Times New Roman" w:cs="Times New Roman"/>
          <w:sz w:val="24"/>
          <w:szCs w:val="24"/>
        </w:rPr>
        <w:t>ОГБУЗ «</w:t>
      </w:r>
      <w:proofErr w:type="spellStart"/>
      <w:r w:rsidR="001D5E34">
        <w:rPr>
          <w:rFonts w:ascii="Times New Roman" w:eastAsia="Calibri" w:hAnsi="Times New Roman" w:cs="Times New Roman"/>
          <w:sz w:val="24"/>
          <w:szCs w:val="24"/>
        </w:rPr>
        <w:t>Каргасокская</w:t>
      </w:r>
      <w:proofErr w:type="spellEnd"/>
      <w:r w:rsidR="001D5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E34" w:rsidRPr="00E1528D">
        <w:rPr>
          <w:rFonts w:ascii="Times New Roman" w:eastAsia="Calibri" w:hAnsi="Times New Roman" w:cs="Times New Roman"/>
          <w:sz w:val="24"/>
          <w:szCs w:val="24"/>
        </w:rPr>
        <w:t>РБ</w:t>
      </w:r>
      <w:r w:rsidR="001D5E34">
        <w:rPr>
          <w:rFonts w:ascii="Times New Roman" w:eastAsia="Calibri" w:hAnsi="Times New Roman" w:cs="Times New Roman"/>
          <w:sz w:val="24"/>
          <w:szCs w:val="24"/>
        </w:rPr>
        <w:t>»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проживает 1483</w:t>
      </w:r>
      <w:r w:rsidR="001D5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человека. </w:t>
      </w:r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>Так как 352 (!) ребенка не проживают на территории муниципалитета, следовательно, они не нуждаются в получении дошкольной образовательной услуги (или) услуги по их содержанию в муниципальных образовательных учреждениях Каргасокского района. Таким образом, по факту доля детей в возрасте 1-6 лет, получающих дошкольную образовательную услугу в муниципальных образовательных учреждениях, в общей численности детей от 1 до 6 лет в 2015 году составила 77,47%, а не 62,6%, исходя из данных Росстата.</w:t>
      </w:r>
      <w:r w:rsidR="001D5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Доля детей в возрасте 1-6 лет, получающих дошкольную образовательную услугу в муниципальных образовательных учреждениях, в общей численности детей от 1 до 6 лет в 2015 году составила 62,6%, что ниже показателя  2014 года на 0,93%.  Снижение показателя обусловлено ограничением набора детей в связи  с закрытием на капитальный ремонт одного корпуса МБДОУ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Нововасюганский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/с №23», закрытием на капитальный ремонт МБДОУ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Павловский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/с №15» с мая по декабрь 2015 года.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положительных результатов в апреле 2015 года открыт новый детский сад на 145 мест (введена дополнительная группа), в конце декабря 2015 года  после капитального ремонта открыта дополнительная группа  в Павловском детском саду №15 на 15 мест, в марте 2016 года - три дополнительные группы на 72 места после реконструкции МБДОУ «Каргасокский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/с №27».</w:t>
      </w:r>
      <w:proofErr w:type="gramEnd"/>
      <w:r w:rsidR="00BF4797"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>В прогнозируемом периоде 2016-2017 гг. ожидается повышение доли детей в возрасте 1 - 6 лет, получающих дошкольную образовательную услугу, до 68,45% соответственно за счет</w:t>
      </w:r>
      <w:r w:rsidR="001D5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введения дополнительных 20 мест после  завершения капитального ремонта в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/с №23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. Новый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Васюган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63B" w:rsidRPr="00E1528D" w:rsidRDefault="005E663B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B26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10.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лет.</w:t>
      </w:r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 составляет  в 2013 – 22,04%;  в 2014 – 22,09%;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в 2015 – 12%, в 2016 -2017 гг. – в среднем 10,9%. Открытие дополнительных мест в муниципальных дошкольных образовательных учреждениях позволит значительно снизить количество детей, состоящих на учете  для определения в муниципальные образовательные учреждения, реализующие общеобразовательные программы дошкольного образования, за счет проведения капитального ремонта, реконструкции, а также открытия дополнительной группы во вновь  построенном здании детского сада.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В 2015 году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введены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20 мест за счет открытого нового детского сада, 15 мест за счет капитального ремонта МБДОУ «Павловский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/с №15». В 2016 году открыты два корпуса после капитального ремонта МБДОУ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Нововасюганский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/с №23» (что позволило произвести дополнительный набор детей), введены  72 места за счёт реконструкции МБДОУ «Каргасокский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/с №27». В связи с продолжением капитального ремонта детского сада в с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овый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Васюган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, в 2016 году будет приостановлен новый набор детей.</w:t>
      </w:r>
    </w:p>
    <w:p w:rsidR="001A6B81" w:rsidRPr="00E1528D" w:rsidRDefault="001A6B81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Pr="00E152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>В апреле 2015  завершено строительств</w:t>
      </w:r>
      <w:r w:rsidR="00334D38">
        <w:rPr>
          <w:rFonts w:ascii="Times New Roman" w:eastAsia="Calibri" w:hAnsi="Times New Roman" w:cs="Times New Roman"/>
          <w:sz w:val="24"/>
          <w:szCs w:val="24"/>
        </w:rPr>
        <w:t>о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нового детского сада на 145 мест, после капитального ремонта открыта дополнительная группа  в Павловском детском саду №15. В 2016 году ведется строительство пищеблока в   МБДОУ «Павловский сад № 15», капитальный ремонт МБДОУ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Нововасюганский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/с №23».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общем числе муниципальных дошкольных образовательных организаций на декабрь 2015 года составляет 16,67%.</w:t>
      </w:r>
    </w:p>
    <w:p w:rsidR="001A6B81" w:rsidRDefault="001A6B81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95D" w:rsidRDefault="001A6B81" w:rsidP="001A6B8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528D">
        <w:rPr>
          <w:rFonts w:ascii="Times New Roman" w:hAnsi="Times New Roman" w:cs="Times New Roman"/>
          <w:b/>
          <w:sz w:val="24"/>
          <w:szCs w:val="24"/>
        </w:rPr>
        <w:t>ОБЩЕЕ И ДОПОЛНИТЕЛЬНОЕ ОБРАЗОВАНИЕ</w:t>
      </w:r>
    </w:p>
    <w:p w:rsidR="002129C3" w:rsidRPr="00E1528D" w:rsidRDefault="002129C3" w:rsidP="001A6B8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12. Доля выпускников муниципальных общеобразовательных учреждений, сдавших единый государственный экзамен (ЕГЭ)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предметам.</w:t>
      </w:r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Данный показатель отражает качество предоставления образовательных услуг в общеобразовательных учреждениях и уровень освоения выпускниками общеобразовательных программ  по русскому языку и математике. В 2013 году этот показатель составил 96,12%, в 2014 году - 100%, в 2015 году– 100,0%.  Прогноз  на 2016 - 2018 годы составляет 99 %.  Для улучшения значения данного показателя предполагается введение средними общеобразовательными учреждениями  </w:t>
      </w:r>
      <w:r w:rsidRPr="00E152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комплексного  плана  аналитических и организационных</w:t>
      </w:r>
      <w:r w:rsidRPr="00E152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 xml:space="preserve">  </w:t>
      </w:r>
      <w:r w:rsidRPr="00E1528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мероприятий</w:t>
      </w:r>
      <w:r w:rsidRPr="00E152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 xml:space="preserve">  </w:t>
      </w:r>
      <w:r w:rsidRPr="00E152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повышению качества</w:t>
      </w:r>
      <w:r w:rsidRPr="00E152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 xml:space="preserve">  </w:t>
      </w:r>
      <w:r w:rsidRPr="00E152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подготовки выпускников к</w:t>
      </w:r>
      <w:r w:rsidRPr="00E152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E1528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государственной</w:t>
      </w:r>
      <w:r w:rsidRPr="00E1528D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E152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итоговой аттестации. 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34D38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  <w:r w:rsidR="00E637F5"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lastRenderedPageBreak/>
        <w:t>Доля выпускников муниципальных общеобразовательных организаций, не получивших аттестат о среднем (полном) образовании, в 2013 году составляла 3,85%,  в 2014 - 0%,  в 2015 году – 0% . Прогнозируемая численность выпускников муниципальных общеобразовательных учреждений, не получивших аттестат о среднем (полном) образовании -  1-2 человека, что составляет 1,5-2%.  Выпускники могут не получить аттестата о среднем (полном) общем образовании по трем причинам: нет допуска к государственной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итоговой аттестации; не набрано минимальное количество баллов (ниже минимального порога, устанавливаемого 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Рособрнадзором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>); повторно получен неудовлетворительный результат по указанному предмету в дополнительные сроки.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D38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  <w:r w:rsidR="00E637F5"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6A4FCD" w:rsidRDefault="00E637F5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6A4FCD" w:rsidRPr="00E1528D">
        <w:rPr>
          <w:rFonts w:ascii="Times New Roman" w:eastAsia="Calibri" w:hAnsi="Times New Roman" w:cs="Times New Roman"/>
          <w:sz w:val="24"/>
          <w:szCs w:val="24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составляет 72,61%. К 2018 году доля муниципальных общеобразовательных организаций, соответствующих современным требованиям обучения, должна составить 74,02%. На декабрь 2015 года 18 общеобразовательных организаций имеют физкультурный зал, 5- актовый зал, 20 – столовую, 20 организаций имеют библиотеки (книжный фонд), сайт, подключение к сети Ин</w:t>
      </w:r>
      <w:r w:rsidR="006E2200">
        <w:rPr>
          <w:rFonts w:ascii="Times New Roman" w:eastAsia="Calibri" w:hAnsi="Times New Roman" w:cs="Times New Roman"/>
          <w:sz w:val="24"/>
          <w:szCs w:val="24"/>
        </w:rPr>
        <w:t>тернет, пожарную сигнализацию,</w:t>
      </w:r>
      <w:r w:rsidR="006A4FCD" w:rsidRPr="00E1528D">
        <w:rPr>
          <w:rFonts w:ascii="Times New Roman" w:eastAsia="Calibri" w:hAnsi="Times New Roman" w:cs="Times New Roman"/>
          <w:sz w:val="24"/>
          <w:szCs w:val="24"/>
        </w:rPr>
        <w:t xml:space="preserve"> дымовые </w:t>
      </w:r>
      <w:proofErr w:type="spellStart"/>
      <w:r w:rsidR="006A4FCD" w:rsidRPr="00E1528D">
        <w:rPr>
          <w:rFonts w:ascii="Times New Roman" w:eastAsia="Calibri" w:hAnsi="Times New Roman" w:cs="Times New Roman"/>
          <w:sz w:val="24"/>
          <w:szCs w:val="24"/>
        </w:rPr>
        <w:t>извещатели</w:t>
      </w:r>
      <w:proofErr w:type="spellEnd"/>
      <w:proofErr w:type="gramEnd"/>
      <w:r w:rsidR="006A4FCD" w:rsidRPr="00E1528D">
        <w:rPr>
          <w:rFonts w:ascii="Times New Roman" w:eastAsia="Calibri" w:hAnsi="Times New Roman" w:cs="Times New Roman"/>
          <w:sz w:val="24"/>
          <w:szCs w:val="24"/>
        </w:rPr>
        <w:t xml:space="preserve">, 13 школ имеют все виды благоустройства, 6 общеобразовательных организаций реализуют образовательные программы с использованием дистанционных технологий, в 3 школах созданы условия для беспрепятственного доступа инвалидов. 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D38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на конец декабря 2015 года составляет 40%. В 2015 году завершён капитальный ремонт в МКОУ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Напасская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ООШ».                 В 2016 году  планируется проведение капитального ремонта МКОУ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Усть-Тымская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ООШ», в 2018 году - строительство МКОУ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Среднетымская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СОШ», капитальный ремонт МКОУ «</w:t>
      </w:r>
      <w:proofErr w:type="spellStart"/>
      <w:r w:rsidRPr="00E1528D">
        <w:rPr>
          <w:rFonts w:ascii="Times New Roman" w:eastAsia="Calibri" w:hAnsi="Times New Roman" w:cs="Times New Roman"/>
          <w:sz w:val="24"/>
          <w:szCs w:val="24"/>
        </w:rPr>
        <w:t>Тымская</w:t>
      </w:r>
      <w:proofErr w:type="spell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ООШ». Но на данный момент вопрос финансирования не решён. 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C48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16. Доля детей первой и второй групп здоровья в общей </w:t>
      </w:r>
      <w:proofErr w:type="gramStart"/>
      <w:r w:rsidRPr="00E1528D">
        <w:rPr>
          <w:rFonts w:ascii="Times New Roman" w:eastAsia="Calibri" w:hAnsi="Times New Roman" w:cs="Times New Roman"/>
          <w:b/>
          <w:sz w:val="24"/>
          <w:szCs w:val="24"/>
        </w:rPr>
        <w:t>численности</w:t>
      </w:r>
      <w:proofErr w:type="gramEnd"/>
      <w:r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в муниципальных общеобразовательных учреждениях.</w:t>
      </w:r>
      <w:r w:rsidR="00231627"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B3240" w:rsidRDefault="006A4FC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Увеличение или уменьшение доли детей первой и второй групп здоровья</w:t>
      </w:r>
      <w:r w:rsidR="006027B9">
        <w:rPr>
          <w:rFonts w:ascii="Times New Roman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hAnsi="Times New Roman" w:cs="Times New Roman"/>
          <w:sz w:val="24"/>
          <w:szCs w:val="24"/>
        </w:rPr>
        <w:t>(2013 год – 92,85%, 2014 год – 90,33%, 2015 год – 87,11%) обусловлено различными  факторами, влияющими на здоровье детей:</w:t>
      </w:r>
    </w:p>
    <w:p w:rsidR="001B3240" w:rsidRDefault="006A4FC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1.    Плохая экология (изменение климата,  увеличение вирусных инфекций, загрязнение воздуха, воды).</w:t>
      </w:r>
    </w:p>
    <w:p w:rsidR="001B3240" w:rsidRDefault="006A4FC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2.  Некачественное медицинское обслуживание (сомнительное качество медицинских услуг,  лекарств, стремительный рост хронических патологий).</w:t>
      </w:r>
    </w:p>
    <w:p w:rsidR="001B3240" w:rsidRDefault="006A4FC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3. Неполноценное питание (несбалансированность, переедание, некачественные продукты).</w:t>
      </w:r>
    </w:p>
    <w:p w:rsidR="001B3240" w:rsidRDefault="006A4FC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4.     Зависимость от вредных привычек (курение, наркомания, алкоголь).</w:t>
      </w: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5.  Чрезмерная интенсивность образовательного процесса (учебно-материальная база общеобразовательных учреждений не отвечает современным санитарным технологиям — несоблюдение гигиенических норм режима учебы и отдыха, снижение физической активности, уменьшение  продолжительности сна, пребывания на свежем воздухе).</w:t>
      </w:r>
    </w:p>
    <w:p w:rsidR="00B91B26" w:rsidRPr="00E1528D" w:rsidRDefault="00B91B26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proofErr w:type="gramStart"/>
      <w:r w:rsidRPr="00E1528D">
        <w:rPr>
          <w:rFonts w:ascii="Times New Roman" w:eastAsia="Calibri" w:hAnsi="Times New Roman" w:cs="Times New Roman"/>
          <w:b/>
          <w:sz w:val="24"/>
          <w:szCs w:val="24"/>
        </w:rPr>
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учреждениях.</w:t>
      </w:r>
      <w:proofErr w:type="gramEnd"/>
    </w:p>
    <w:p w:rsidR="006A4FC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Доля обучающихся в муниципальных общеобразовательных организациях, занимающихся во вторую смену, в общей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численности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обучающихся в муниципальных общеобразовательных организациях составляет в 2013 году 28,69%; в 2014 году – 30,11%; в 2015 году – 22,84%.</w:t>
      </w:r>
      <w:r w:rsidR="00231627"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Увеличение доли детей обусловлено увеличением численности детей в тех параллелях, которые переведены во вторую смену. Снижение данного показателя в ближайшей перспективе не предусмотрено в связи с количественным составом учащихся МБОУ КСОШ – интернат №1 и МБОУ КСОШ №2.  Для решения проблемы необходимо  строительство новой школы </w:t>
      </w: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с. Каргасок на 500 мест. В рамках ГП «Содействие созданию в Томской области новых мест в общеобразовательных организациях»» строительство и ввод в эксплуатацию данного объекта планируется в 2020 году. 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28D">
        <w:rPr>
          <w:rFonts w:ascii="Times New Roman" w:eastAsia="Calibri" w:hAnsi="Times New Roman" w:cs="Times New Roman"/>
          <w:sz w:val="24"/>
          <w:szCs w:val="24"/>
        </w:rPr>
        <w:t>Увеличение средней стоимости одного обучающегося в муниципальных общеобразовательных учреждениях происходит за счет  увеличения расходов в системе образования. В 2013 году расходы на одного обучающегося составили 122 900 руб., в 2014г. – 142 540 руб.; в 2015г. – 143 270 руб. В прогнозе до 2019</w:t>
      </w:r>
      <w:r w:rsidR="006E2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>г. уменьшение составит 7,8%.</w:t>
      </w:r>
      <w:r w:rsidR="00602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3EA">
        <w:rPr>
          <w:rFonts w:ascii="Times New Roman" w:eastAsia="Calibri" w:hAnsi="Times New Roman" w:cs="Times New Roman"/>
          <w:sz w:val="24"/>
          <w:szCs w:val="24"/>
        </w:rPr>
        <w:t xml:space="preserve">Уменьшение расходов бюджета произойдет </w:t>
      </w:r>
      <w:r w:rsidR="00E016CF">
        <w:rPr>
          <w:rFonts w:ascii="Times New Roman" w:eastAsia="Calibri" w:hAnsi="Times New Roman" w:cs="Times New Roman"/>
          <w:sz w:val="24"/>
          <w:szCs w:val="24"/>
        </w:rPr>
        <w:t xml:space="preserve">из-за </w:t>
      </w:r>
      <w:r w:rsidR="006E2200">
        <w:rPr>
          <w:rFonts w:ascii="Times New Roman" w:eastAsia="Calibri" w:hAnsi="Times New Roman" w:cs="Times New Roman"/>
          <w:sz w:val="24"/>
          <w:szCs w:val="24"/>
        </w:rPr>
        <w:t xml:space="preserve">ликвидации </w:t>
      </w:r>
      <w:r w:rsidR="00E016CF">
        <w:rPr>
          <w:rFonts w:ascii="Times New Roman" w:eastAsia="Calibri" w:hAnsi="Times New Roman" w:cs="Times New Roman"/>
          <w:sz w:val="24"/>
          <w:szCs w:val="24"/>
        </w:rPr>
        <w:t xml:space="preserve">в 2016 году МКОУ </w:t>
      </w:r>
      <w:proofErr w:type="spellStart"/>
      <w:r w:rsidR="00E016CF">
        <w:rPr>
          <w:rFonts w:ascii="Times New Roman" w:eastAsia="Calibri" w:hAnsi="Times New Roman" w:cs="Times New Roman"/>
          <w:sz w:val="24"/>
          <w:szCs w:val="24"/>
        </w:rPr>
        <w:t>Тевризская</w:t>
      </w:r>
      <w:proofErr w:type="spellEnd"/>
      <w:r w:rsidR="00E016CF">
        <w:rPr>
          <w:rFonts w:ascii="Times New Roman" w:eastAsia="Calibri" w:hAnsi="Times New Roman" w:cs="Times New Roman"/>
          <w:sz w:val="24"/>
          <w:szCs w:val="24"/>
        </w:rPr>
        <w:t xml:space="preserve"> НОШ. </w:t>
      </w:r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2D99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528D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proofErr w:type="gramStart"/>
      <w:r w:rsidRPr="00E1528D">
        <w:rPr>
          <w:rFonts w:ascii="Times New Roman" w:eastAsia="Calibri" w:hAnsi="Times New Roman" w:cs="Times New Roman"/>
          <w:b/>
          <w:sz w:val="24"/>
          <w:szCs w:val="24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</w:t>
      </w:r>
      <w:r w:rsidRPr="00E15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b/>
          <w:sz w:val="24"/>
          <w:szCs w:val="24"/>
        </w:rPr>
        <w:t>формы собственности, в общей численности детей в данной возрастной группы.</w:t>
      </w:r>
      <w:proofErr w:type="gramEnd"/>
    </w:p>
    <w:p w:rsidR="006A4FCD" w:rsidRPr="00E1528D" w:rsidRDefault="006A4FCD" w:rsidP="00E1528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528D">
        <w:rPr>
          <w:rFonts w:ascii="Times New Roman" w:eastAsia="Calibri" w:hAnsi="Times New Roman" w:cs="Times New Roman"/>
          <w:sz w:val="24"/>
          <w:szCs w:val="24"/>
        </w:rPr>
        <w:t>Доля детей в возрасте 5-18 лет, получающих услуг по дополнительному образованию в организациях различной организационно</w:t>
      </w:r>
      <w:r w:rsidR="00FF4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28D">
        <w:rPr>
          <w:rFonts w:ascii="Times New Roman" w:eastAsia="Calibri" w:hAnsi="Times New Roman" w:cs="Times New Roman"/>
          <w:sz w:val="24"/>
          <w:szCs w:val="24"/>
        </w:rPr>
        <w:t>- правовой формы и формы собственности, в общей численности детей данной возрастной группы составляла в 2013 году 42,79%, в 2014 году 32,73%, в 2015- 32,9%. К 2018 году доля детей в возрасте 5-18 лет, получающих услуги по дополнительному образованию должна составлять 34,2%.</w:t>
      </w:r>
      <w:r w:rsidR="00602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19C">
        <w:rPr>
          <w:rFonts w:ascii="Times New Roman" w:eastAsia="Calibri" w:hAnsi="Times New Roman" w:cs="Times New Roman"/>
          <w:sz w:val="24"/>
          <w:szCs w:val="24"/>
        </w:rPr>
        <w:t>В  2016 - 2018 годах</w:t>
      </w:r>
      <w:proofErr w:type="gramEnd"/>
      <w:r w:rsidR="0009119C">
        <w:rPr>
          <w:rFonts w:ascii="Times New Roman" w:eastAsia="Calibri" w:hAnsi="Times New Roman" w:cs="Times New Roman"/>
          <w:sz w:val="24"/>
          <w:szCs w:val="24"/>
        </w:rPr>
        <w:t xml:space="preserve"> планируется привлечь к оказанию услуг по дополнительному образованию детей общеобразовательные школы путем сетевого взаимодействия с организациями дополнительного образования.</w:t>
      </w:r>
    </w:p>
    <w:p w:rsidR="006A4FCD" w:rsidRPr="00E1528D" w:rsidRDefault="006A4FCD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982C29" w:rsidRDefault="00982C29" w:rsidP="0053069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1528D">
        <w:rPr>
          <w:rFonts w:ascii="Times New Roman" w:hAnsi="Times New Roman" w:cs="Times New Roman"/>
          <w:b/>
          <w:sz w:val="24"/>
          <w:szCs w:val="24"/>
        </w:rPr>
        <w:t>. </w:t>
      </w:r>
      <w:r w:rsidR="00530696" w:rsidRPr="00E1528D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2129C3" w:rsidRPr="00E1528D" w:rsidRDefault="002129C3" w:rsidP="0053069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C29" w:rsidRPr="00530696" w:rsidRDefault="00982C29" w:rsidP="00E1528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696">
        <w:rPr>
          <w:rFonts w:ascii="Times New Roman" w:hAnsi="Times New Roman" w:cs="Times New Roman"/>
          <w:b/>
          <w:sz w:val="24"/>
          <w:szCs w:val="24"/>
        </w:rPr>
        <w:t>20. Уровень фактической обеспеченности учреждениями куль</w:t>
      </w:r>
      <w:r w:rsidR="00530696">
        <w:rPr>
          <w:rFonts w:ascii="Times New Roman" w:hAnsi="Times New Roman" w:cs="Times New Roman"/>
          <w:b/>
          <w:sz w:val="24"/>
          <w:szCs w:val="24"/>
        </w:rPr>
        <w:t>туры от нормативной потребности.</w:t>
      </w:r>
    </w:p>
    <w:p w:rsidR="00BE0DB8" w:rsidRPr="00E1528D" w:rsidRDefault="00982C29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          В 2015 году на территории Каргасокского района работало 19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учреждений культуры: МБУК 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Каргасокий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РДК» - районное учреждение и 12 муниципальных казенных учреждений культуры с шестью филиалами  на территории сельских поселений. Уровень фактической обеспеченности клубами и учреждениями клубного типа составляет 82,61 % от нормативной потребности.  В 2014 году этот показатель составлял 154,17%,  т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    сельские библиотеки входили  филиалами в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МКУКи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сельских поселений, которые являются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учреждениями. </w:t>
      </w:r>
    </w:p>
    <w:p w:rsidR="00DD197D" w:rsidRDefault="00982C29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В связи с внесением изменений в 131-ФЗ «Об общих принципах организации местного самоуправления в Российской Федерации» с 01.01.2015г. библиотеки сельских поселений переведены на уровень района, т.е. вошли филиалами в МБУК 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ЦРБ». Таким образом, библиотечная сеть района  состоит из 22 библиотек (МБУК </w:t>
      </w:r>
      <w:r w:rsidRPr="00E1528D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ЦРБ» и 21 библиотека-филиал),  уровень фактической обеспеченности библиотеками  от нормативной потребности увеличилась с 7,69% (в 2014г.) до  56,41 % (в 2015г.).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C29" w:rsidRPr="00E1528D" w:rsidRDefault="00982C29" w:rsidP="00E1528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</w:rPr>
        <w:t>21. 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7F268C" w:rsidRPr="00E1528D" w:rsidRDefault="00BE0DB8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Здания трех  учреждения культуры Каргасокского района  требуют  капитального  ремонта. 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В  муниципальной программе  «Развитие  культуры и туризма в муниципальном образовании «Каргасокский район» на 2017-2018 годы  запланирован  капитальный ремонт и перевод в отремонтированное здание МКУК 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сельского поселения» (в 2014 году была изготовлена ПСД на реконструкцию этого учреждения) и   разработка ПСД на капитальный  ремонт зданий  МКУК «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 центр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Староюгинский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сельский Дом культуры.</w:t>
      </w:r>
      <w:proofErr w:type="gramEnd"/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393" w:rsidRDefault="00DF2393" w:rsidP="00530696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9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0696">
        <w:rPr>
          <w:rFonts w:ascii="Times New Roman" w:hAnsi="Times New Roman" w:cs="Times New Roman"/>
          <w:b/>
          <w:sz w:val="24"/>
          <w:szCs w:val="24"/>
        </w:rPr>
        <w:t>. ФИЗИЧЕСКАЯ КУЛЬТУРА И СПОРТ</w:t>
      </w:r>
    </w:p>
    <w:p w:rsidR="002129C3" w:rsidRPr="00530696" w:rsidRDefault="002129C3" w:rsidP="00530696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393" w:rsidRPr="00530696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96">
        <w:rPr>
          <w:rFonts w:ascii="Times New Roman" w:hAnsi="Times New Roman" w:cs="Times New Roman"/>
          <w:b/>
          <w:bCs/>
          <w:sz w:val="24"/>
          <w:szCs w:val="24"/>
        </w:rPr>
        <w:t xml:space="preserve">23. Доля населения, систематически занимающегося физической культурой и спортом. </w:t>
      </w:r>
    </w:p>
    <w:p w:rsidR="00DF2393" w:rsidRPr="00DA2295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Создание условий для развития физической культуры и спорта на территории</w:t>
      </w:r>
      <w:r w:rsidRPr="00E1528D">
        <w:rPr>
          <w:rFonts w:ascii="Times New Roman" w:hAnsi="Times New Roman" w:cs="Times New Roman"/>
          <w:bCs/>
          <w:sz w:val="24"/>
          <w:szCs w:val="24"/>
        </w:rPr>
        <w:t xml:space="preserve"> муниципального  образования «Каргасокский район» является г</w:t>
      </w:r>
      <w:r w:rsidRPr="00E1528D">
        <w:rPr>
          <w:rFonts w:ascii="Times New Roman" w:hAnsi="Times New Roman" w:cs="Times New Roman"/>
          <w:sz w:val="24"/>
          <w:szCs w:val="24"/>
        </w:rPr>
        <w:t xml:space="preserve">лавной целью </w:t>
      </w:r>
      <w:r w:rsidRPr="00DA2295">
        <w:rPr>
          <w:rFonts w:ascii="Times New Roman" w:hAnsi="Times New Roman" w:cs="Times New Roman"/>
          <w:sz w:val="24"/>
          <w:szCs w:val="24"/>
        </w:rPr>
        <w:t xml:space="preserve">реализации данного направления. За 2014 год показатель составил 23,3%, по итогам 2015 года </w:t>
      </w:r>
      <w:r w:rsidR="00FA0FEB" w:rsidRPr="00DA2295">
        <w:rPr>
          <w:rFonts w:ascii="Times New Roman" w:hAnsi="Times New Roman" w:cs="Times New Roman"/>
          <w:sz w:val="24"/>
          <w:szCs w:val="24"/>
        </w:rPr>
        <w:t>–</w:t>
      </w:r>
      <w:r w:rsidRPr="00DA2295">
        <w:rPr>
          <w:rFonts w:ascii="Times New Roman" w:hAnsi="Times New Roman" w:cs="Times New Roman"/>
          <w:sz w:val="24"/>
          <w:szCs w:val="24"/>
        </w:rPr>
        <w:t xml:space="preserve"> 2</w:t>
      </w:r>
      <w:r w:rsidR="00FA0FEB" w:rsidRPr="00DA2295">
        <w:rPr>
          <w:rFonts w:ascii="Times New Roman" w:hAnsi="Times New Roman" w:cs="Times New Roman"/>
          <w:sz w:val="24"/>
          <w:szCs w:val="24"/>
        </w:rPr>
        <w:t>3,31</w:t>
      </w:r>
      <w:r w:rsidR="00DC6A95" w:rsidRPr="00DA2295">
        <w:rPr>
          <w:rFonts w:ascii="Times New Roman" w:hAnsi="Times New Roman" w:cs="Times New Roman"/>
          <w:sz w:val="24"/>
          <w:szCs w:val="24"/>
        </w:rPr>
        <w:t xml:space="preserve">  </w:t>
      </w:r>
      <w:r w:rsidRPr="00DA229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295">
        <w:rPr>
          <w:rFonts w:ascii="Times New Roman" w:hAnsi="Times New Roman" w:cs="Times New Roman"/>
          <w:sz w:val="24"/>
          <w:szCs w:val="24"/>
        </w:rPr>
        <w:t>Спортивная инфраструктура Каргасокского района включает 58 спортивных</w:t>
      </w:r>
      <w:r w:rsidRPr="00E1528D">
        <w:rPr>
          <w:rFonts w:ascii="Times New Roman" w:hAnsi="Times New Roman" w:cs="Times New Roman"/>
          <w:sz w:val="24"/>
          <w:szCs w:val="24"/>
        </w:rPr>
        <w:t xml:space="preserve"> сооружений из них: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Плоскостные спортивные сооружения – 36 ед. 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Спортивные залы – 19 ед.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Лыжная база – 1 ед.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Сооружения для стрелковых видов спорта- 2 ед.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Общая единовременная пропускная  способность указанных объектов составляет - 1772 человека/смена.</w:t>
      </w:r>
    </w:p>
    <w:p w:rsidR="00DF2393" w:rsidRPr="00E1528D" w:rsidRDefault="00DF2393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Позитивным событием стало открытие после реконструкции в июне 2015 года волейбольной площадки в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(СОК «Юность»). В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результате чего увеличилось количество мест соответствующих современным требованиям необходимых для занят</w:t>
      </w:r>
      <w:r w:rsidRPr="00E1528D">
        <w:rPr>
          <w:rFonts w:ascii="Times New Roman" w:hAnsi="Times New Roman" w:cs="Times New Roman"/>
          <w:sz w:val="24"/>
          <w:szCs w:val="24"/>
        </w:rPr>
        <w:t>ий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физической </w:t>
      </w:r>
      <w:r w:rsidRPr="00E1528D">
        <w:rPr>
          <w:rFonts w:ascii="Times New Roman" w:hAnsi="Times New Roman" w:cs="Times New Roman"/>
          <w:sz w:val="24"/>
          <w:szCs w:val="24"/>
        </w:rPr>
        <w:t>культурой и с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>портом</w:t>
      </w:r>
      <w:r w:rsidR="00602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DB8" w:rsidRPr="00E1528D" w:rsidRDefault="00BE0DB8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9C2404" w:rsidRDefault="009C2404" w:rsidP="00B330A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1528D">
        <w:rPr>
          <w:rFonts w:ascii="Times New Roman" w:hAnsi="Times New Roman" w:cs="Times New Roman"/>
          <w:b/>
          <w:sz w:val="24"/>
          <w:szCs w:val="24"/>
        </w:rPr>
        <w:t>. ЖИЛИЩНОЕ СТРОИТЕЛЬСТВО И ОБЕСПЕЧЕНИЕ ГРАЖДАН</w:t>
      </w:r>
      <w:r w:rsidR="00B33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8D">
        <w:rPr>
          <w:rFonts w:ascii="Times New Roman" w:hAnsi="Times New Roman" w:cs="Times New Roman"/>
          <w:b/>
          <w:sz w:val="24"/>
          <w:szCs w:val="24"/>
        </w:rPr>
        <w:t>ЖИЛЬЕМ</w:t>
      </w:r>
    </w:p>
    <w:p w:rsidR="00B330A9" w:rsidRPr="00E1528D" w:rsidRDefault="00B330A9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404" w:rsidRPr="00E1528D" w:rsidRDefault="009C2404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</w:rPr>
        <w:t>24. Общая площадь жилых помещений, приходящаяся в среднем на одного жителя.</w:t>
      </w:r>
    </w:p>
    <w:p w:rsidR="00F364B0" w:rsidRDefault="00F364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Рост общей площади жилых помещений на одного жителя происходит за счет снижения численности населения</w:t>
      </w:r>
      <w:r w:rsidRPr="00E1528D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r w:rsidRPr="00E1528D">
        <w:rPr>
          <w:rFonts w:ascii="Times New Roman" w:hAnsi="Times New Roman" w:cs="Times New Roman"/>
          <w:sz w:val="24"/>
          <w:szCs w:val="24"/>
        </w:rPr>
        <w:t xml:space="preserve">Ежегодно вводится в эксплуатацию более  3000 кв.м. жилья. 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В 2013 году 3,4 тыс. кв. м, в 2014 году 3,675 тыс.кв.м., в 2015 году 3,644 тыс. кв.м. жилых помещений.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 Ввод жилья осуществляется в основном индивидуальными застройщиками. 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404" w:rsidRPr="00E1528D" w:rsidRDefault="009C2404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bCs/>
          <w:sz w:val="24"/>
          <w:szCs w:val="24"/>
        </w:rPr>
        <w:t>25. </w:t>
      </w:r>
      <w:r w:rsidRPr="00E1528D">
        <w:rPr>
          <w:rFonts w:ascii="Times New Roman" w:hAnsi="Times New Roman" w:cs="Times New Roman"/>
          <w:b/>
          <w:sz w:val="24"/>
          <w:szCs w:val="24"/>
        </w:rPr>
        <w:t>Площадь земельных участков, предоставленных для строительства, в расчете на 10 тыс. человек населения –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9C2404" w:rsidRPr="00E1528D" w:rsidRDefault="009C2404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Каргасокского района в 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2015 году поступило </w:t>
      </w:r>
      <w:r w:rsidRPr="00E15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земельных участков под строительство, в  том числе </w:t>
      </w:r>
      <w:r w:rsidRPr="00E1528D">
        <w:rPr>
          <w:rFonts w:ascii="Times New Roman" w:hAnsi="Times New Roman" w:cs="Times New Roman"/>
          <w:sz w:val="24"/>
          <w:szCs w:val="24"/>
        </w:rPr>
        <w:t>37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Pr="00E1528D">
        <w:rPr>
          <w:rFonts w:ascii="Times New Roman" w:hAnsi="Times New Roman" w:cs="Times New Roman"/>
          <w:sz w:val="24"/>
          <w:szCs w:val="24"/>
        </w:rPr>
        <w:t>й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– для индивидуального жилищного строительства.  </w:t>
      </w:r>
    </w:p>
    <w:p w:rsidR="009C2404" w:rsidRPr="00E1528D" w:rsidRDefault="009C2404" w:rsidP="00E1528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В 2014 году поступило  37 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заявлений о предоставлении земельных участков под строительство (32,92 га), в том числе 28 – для индивидуального жилищного </w:t>
      </w:r>
      <w:r w:rsidRPr="00E1528D">
        <w:rPr>
          <w:rFonts w:ascii="Times New Roman" w:hAnsi="Times New Roman" w:cs="Times New Roman"/>
          <w:sz w:val="24"/>
          <w:szCs w:val="24"/>
        </w:rPr>
        <w:t>строительства (5,30 га)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2404" w:rsidRDefault="009C2404" w:rsidP="00E1528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8D">
        <w:rPr>
          <w:rFonts w:ascii="Times New Roman" w:eastAsia="Times New Roman" w:hAnsi="Times New Roman" w:cs="Times New Roman"/>
          <w:sz w:val="24"/>
          <w:szCs w:val="24"/>
        </w:rPr>
        <w:t>Площадь предоставленных земельных участков в 2015 году составила 7,15</w:t>
      </w:r>
      <w:r w:rsidRPr="00E1528D">
        <w:rPr>
          <w:rFonts w:ascii="Times New Roman" w:hAnsi="Times New Roman" w:cs="Times New Roman"/>
          <w:sz w:val="24"/>
          <w:szCs w:val="24"/>
        </w:rPr>
        <w:t xml:space="preserve"> га (в расчете на 10 тыс. человек населения – 2,35 га), в том числе 4,68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 xml:space="preserve"> га для индивидуального жилищного строительства </w:t>
      </w:r>
      <w:r w:rsidRPr="00E1528D">
        <w:rPr>
          <w:rFonts w:ascii="Times New Roman" w:hAnsi="Times New Roman" w:cs="Times New Roman"/>
          <w:sz w:val="24"/>
          <w:szCs w:val="24"/>
        </w:rPr>
        <w:t>(в расчете на 10 тыс. человек населения –2,35 га)</w:t>
      </w:r>
      <w:r w:rsidRPr="00E1528D">
        <w:rPr>
          <w:rFonts w:ascii="Times New Roman" w:eastAsia="Times New Roman" w:hAnsi="Times New Roman" w:cs="Times New Roman"/>
          <w:sz w:val="24"/>
          <w:szCs w:val="24"/>
        </w:rPr>
        <w:t>. Снижение произошло из-за изменений в Земельном кодексе Российской Федерации в части предоставления земельных участков для строительства объектов, не связанных с ИЖС и ЛПХ. Земельные участки для строительства объектов предоставляются через торги. Также для строительства линейных объектов необходима подготовка проектов планировки и межевания территорий, что является сдерживающим фактором строительства.</w:t>
      </w:r>
    </w:p>
    <w:p w:rsidR="00530696" w:rsidRPr="00E1528D" w:rsidRDefault="00530696" w:rsidP="00E1528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404" w:rsidRPr="00E1528D" w:rsidRDefault="009C2404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bCs/>
          <w:sz w:val="24"/>
          <w:szCs w:val="24"/>
        </w:rPr>
        <w:t>26. </w:t>
      </w:r>
      <w:r w:rsidRPr="00E1528D">
        <w:rPr>
          <w:rFonts w:ascii="Times New Roman" w:hAnsi="Times New Roman" w:cs="Times New Roman"/>
          <w:b/>
          <w:sz w:val="24"/>
          <w:szCs w:val="24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E1528D">
        <w:rPr>
          <w:rFonts w:ascii="Times New Roman" w:hAnsi="Times New Roman" w:cs="Times New Roman"/>
          <w:b/>
          <w:sz w:val="24"/>
          <w:szCs w:val="24"/>
        </w:rPr>
        <w:t>с даты принятия</w:t>
      </w:r>
      <w:proofErr w:type="gramEnd"/>
      <w:r w:rsidRPr="00E1528D">
        <w:rPr>
          <w:rFonts w:ascii="Times New Roman" w:hAnsi="Times New Roman" w:cs="Times New Roman"/>
          <w:b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</w:p>
    <w:p w:rsidR="009C2404" w:rsidRPr="00E1528D" w:rsidRDefault="009C2404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28D">
        <w:rPr>
          <w:rFonts w:ascii="Times New Roman" w:hAnsi="Times New Roman" w:cs="Times New Roman"/>
          <w:sz w:val="24"/>
          <w:szCs w:val="24"/>
        </w:rPr>
        <w:t xml:space="preserve">На  конец отчетного периода отсутствуют  земельные участки, предоставленные для строительства, 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трех лет, иных объектов капитального строительства - в течение пяти лет.      </w:t>
      </w:r>
      <w:proofErr w:type="gramEnd"/>
    </w:p>
    <w:p w:rsidR="00530696" w:rsidRDefault="00530696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68C" w:rsidRDefault="007F268C" w:rsidP="002129C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1528D">
        <w:rPr>
          <w:rFonts w:ascii="Times New Roman" w:hAnsi="Times New Roman" w:cs="Times New Roman"/>
          <w:b/>
          <w:sz w:val="24"/>
          <w:szCs w:val="24"/>
        </w:rPr>
        <w:t>. ЖИЛИЩНО-КОММУНАЛЬНОЕ ХОЗЯЙСТВО</w:t>
      </w:r>
    </w:p>
    <w:p w:rsidR="002129C3" w:rsidRPr="00E1528D" w:rsidRDefault="002129C3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68C" w:rsidRPr="00E1528D" w:rsidRDefault="007F268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Fonts w:ascii="Times New Roman" w:hAnsi="Times New Roman" w:cs="Times New Roman"/>
          <w:b/>
          <w:bCs/>
          <w:sz w:val="24"/>
          <w:szCs w:val="24"/>
        </w:rPr>
        <w:t>27. </w:t>
      </w:r>
      <w:r w:rsidRPr="00E1528D">
        <w:rPr>
          <w:rFonts w:ascii="Times New Roman" w:hAnsi="Times New Roman" w:cs="Times New Roman"/>
          <w:b/>
          <w:sz w:val="24"/>
          <w:szCs w:val="24"/>
        </w:rPr>
        <w:t>Доля многоквартирных домов</w:t>
      </w:r>
      <w:r w:rsidR="00424AAC">
        <w:rPr>
          <w:rFonts w:ascii="Times New Roman" w:hAnsi="Times New Roman" w:cs="Times New Roman"/>
          <w:b/>
          <w:sz w:val="24"/>
          <w:szCs w:val="24"/>
        </w:rPr>
        <w:t>, в которых собственники жилых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Pr="00E1528D">
        <w:rPr>
          <w:rFonts w:ascii="Times New Roman" w:hAnsi="Times New Roman" w:cs="Times New Roman"/>
          <w:b/>
          <w:sz w:val="24"/>
          <w:szCs w:val="24"/>
        </w:rPr>
        <w:t>.</w:t>
      </w:r>
    </w:p>
    <w:p w:rsidR="00424AAC" w:rsidRDefault="00424AA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В </w:t>
      </w:r>
      <w:proofErr w:type="spellStart"/>
      <w:r>
        <w:rPr>
          <w:rStyle w:val="FontStyle40"/>
          <w:sz w:val="24"/>
          <w:szCs w:val="24"/>
        </w:rPr>
        <w:t>Каргасокском</w:t>
      </w:r>
      <w:proofErr w:type="spellEnd"/>
      <w:r>
        <w:rPr>
          <w:rStyle w:val="FontStyle40"/>
          <w:sz w:val="24"/>
          <w:szCs w:val="24"/>
        </w:rPr>
        <w:t xml:space="preserve"> районе 122 </w:t>
      </w:r>
      <w:proofErr w:type="gramStart"/>
      <w:r>
        <w:rPr>
          <w:rStyle w:val="FontStyle40"/>
          <w:sz w:val="24"/>
          <w:szCs w:val="24"/>
        </w:rPr>
        <w:t>многоквартирных</w:t>
      </w:r>
      <w:proofErr w:type="gramEnd"/>
      <w:r>
        <w:rPr>
          <w:rStyle w:val="FontStyle40"/>
          <w:sz w:val="24"/>
          <w:szCs w:val="24"/>
        </w:rPr>
        <w:t xml:space="preserve"> дома.</w:t>
      </w:r>
      <w:r w:rsidR="007F268C" w:rsidRPr="00E1528D">
        <w:rPr>
          <w:rStyle w:val="FontStyle40"/>
          <w:sz w:val="24"/>
          <w:szCs w:val="24"/>
        </w:rPr>
        <w:t xml:space="preserve"> </w:t>
      </w:r>
      <w:r>
        <w:rPr>
          <w:rStyle w:val="FontStyle40"/>
          <w:sz w:val="24"/>
          <w:szCs w:val="24"/>
        </w:rPr>
        <w:t>Способ управления выбрали в 90,98% домов.</w:t>
      </w:r>
    </w:p>
    <w:p w:rsidR="00424AAC" w:rsidRDefault="00424AAC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</w:p>
    <w:p w:rsidR="007F268C" w:rsidRPr="00E1528D" w:rsidRDefault="007F268C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Style w:val="FontStyle45"/>
          <w:sz w:val="24"/>
          <w:szCs w:val="24"/>
        </w:rPr>
        <w:t>28.</w:t>
      </w:r>
      <w:r w:rsidRPr="00E1528D">
        <w:rPr>
          <w:rStyle w:val="FontStyle45"/>
          <w:sz w:val="24"/>
          <w:szCs w:val="24"/>
        </w:rPr>
        <w:tab/>
      </w:r>
      <w:r w:rsidRPr="00E1528D">
        <w:rPr>
          <w:rFonts w:ascii="Times New Roman" w:hAnsi="Times New Roman" w:cs="Times New Roman"/>
          <w:b/>
          <w:sz w:val="24"/>
          <w:szCs w:val="24"/>
        </w:rPr>
        <w:t>Доля организаций коммунального комплекса, осуществляющих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 xml:space="preserve">производство товаров, оказание услуг по </w:t>
      </w:r>
      <w:proofErr w:type="spellStart"/>
      <w:r w:rsidRPr="00E1528D">
        <w:rPr>
          <w:rFonts w:ascii="Times New Roman" w:hAnsi="Times New Roman" w:cs="Times New Roman"/>
          <w:b/>
          <w:sz w:val="24"/>
          <w:szCs w:val="24"/>
        </w:rPr>
        <w:t>водо</w:t>
      </w:r>
      <w:proofErr w:type="spellEnd"/>
      <w:r w:rsidRPr="00E1528D">
        <w:rPr>
          <w:rFonts w:ascii="Times New Roman" w:hAnsi="Times New Roman" w:cs="Times New Roman"/>
          <w:b/>
          <w:sz w:val="24"/>
          <w:szCs w:val="24"/>
        </w:rPr>
        <w:t>-, тепл</w:t>
      </w:r>
      <w:proofErr w:type="gramStart"/>
      <w:r w:rsidRPr="00E1528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1528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528D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E1528D">
        <w:rPr>
          <w:rFonts w:ascii="Times New Roman" w:hAnsi="Times New Roman" w:cs="Times New Roman"/>
          <w:b/>
          <w:sz w:val="24"/>
          <w:szCs w:val="24"/>
        </w:rPr>
        <w:t>-, электроснабжению,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>водоотведению, очистке сточных вод, утилизации (захоронению) твердых бытовых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>отходов и использующих объекты коммунальной инфраструктуры на праве частной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>собственности, по договору аренды или концессии, участие субъекта Российской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>Федерации и (или) городского округа (муниципального района) в уставном капитале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>которых составляет не более 25 процентов, в общем числе организаций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 xml:space="preserve">коммунального комплекса, </w:t>
      </w:r>
      <w:proofErr w:type="gramStart"/>
      <w:r w:rsidRPr="00E1528D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E1528D">
        <w:rPr>
          <w:rFonts w:ascii="Times New Roman" w:hAnsi="Times New Roman" w:cs="Times New Roman"/>
          <w:b/>
          <w:sz w:val="24"/>
          <w:szCs w:val="24"/>
        </w:rPr>
        <w:t xml:space="preserve"> свою деятельность на территории</w:t>
      </w:r>
      <w:r w:rsidRPr="00E1528D">
        <w:rPr>
          <w:rFonts w:ascii="Times New Roman" w:hAnsi="Times New Roman" w:cs="Times New Roman"/>
          <w:b/>
          <w:sz w:val="24"/>
          <w:szCs w:val="24"/>
        </w:rPr>
        <w:br/>
        <w:t>городского округа (муниципального района).</w:t>
      </w:r>
    </w:p>
    <w:p w:rsidR="007F268C" w:rsidRPr="00E1528D" w:rsidRDefault="007F268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r w:rsidRPr="00E1528D">
        <w:rPr>
          <w:rStyle w:val="FontStyle40"/>
          <w:sz w:val="24"/>
          <w:szCs w:val="24"/>
        </w:rPr>
        <w:t>Услуги в сфере коммунального хозяйства на территории Каргасокского района в 201</w:t>
      </w:r>
      <w:r w:rsidR="00263CD7" w:rsidRPr="00E1528D">
        <w:rPr>
          <w:rStyle w:val="FontStyle40"/>
          <w:sz w:val="24"/>
          <w:szCs w:val="24"/>
        </w:rPr>
        <w:t>5</w:t>
      </w:r>
      <w:r w:rsidRPr="00E1528D">
        <w:rPr>
          <w:rStyle w:val="FontStyle40"/>
          <w:sz w:val="24"/>
          <w:szCs w:val="24"/>
        </w:rPr>
        <w:t xml:space="preserve"> году представлялись 1</w:t>
      </w:r>
      <w:r w:rsidR="00263CD7" w:rsidRPr="00E1528D">
        <w:rPr>
          <w:rStyle w:val="FontStyle40"/>
          <w:sz w:val="24"/>
          <w:szCs w:val="24"/>
        </w:rPr>
        <w:t>5</w:t>
      </w:r>
      <w:r w:rsidRPr="00E1528D">
        <w:rPr>
          <w:rStyle w:val="FontStyle40"/>
          <w:sz w:val="24"/>
          <w:szCs w:val="24"/>
        </w:rPr>
        <w:t xml:space="preserve"> организациями коммунального комплекса, из них </w:t>
      </w:r>
      <w:r w:rsidR="00263CD7" w:rsidRPr="00E1528D">
        <w:rPr>
          <w:rStyle w:val="FontStyle40"/>
          <w:sz w:val="24"/>
          <w:szCs w:val="24"/>
        </w:rPr>
        <w:t>3</w:t>
      </w:r>
      <w:r w:rsidRPr="00E1528D">
        <w:rPr>
          <w:rStyle w:val="FontStyle40"/>
          <w:sz w:val="24"/>
          <w:szCs w:val="24"/>
        </w:rPr>
        <w:t xml:space="preserve"> организации осуществляют оказание услуг по </w:t>
      </w:r>
      <w:proofErr w:type="spellStart"/>
      <w:r w:rsidRPr="00E1528D">
        <w:rPr>
          <w:rStyle w:val="FontStyle40"/>
          <w:sz w:val="24"/>
          <w:szCs w:val="24"/>
        </w:rPr>
        <w:t>водо</w:t>
      </w:r>
      <w:proofErr w:type="spellEnd"/>
      <w:r w:rsidRPr="00E1528D">
        <w:rPr>
          <w:rStyle w:val="FontStyle40"/>
          <w:sz w:val="24"/>
          <w:szCs w:val="24"/>
        </w:rPr>
        <w:t>-, тепл</w:t>
      </w:r>
      <w:proofErr w:type="gramStart"/>
      <w:r w:rsidRPr="00E1528D">
        <w:rPr>
          <w:rStyle w:val="FontStyle40"/>
          <w:sz w:val="24"/>
          <w:szCs w:val="24"/>
        </w:rPr>
        <w:t>о-</w:t>
      </w:r>
      <w:proofErr w:type="gramEnd"/>
      <w:r w:rsidRPr="00E1528D">
        <w:rPr>
          <w:rStyle w:val="FontStyle40"/>
          <w:sz w:val="24"/>
          <w:szCs w:val="24"/>
        </w:rPr>
        <w:t xml:space="preserve">, </w:t>
      </w:r>
      <w:proofErr w:type="spellStart"/>
      <w:r w:rsidRPr="00E1528D">
        <w:rPr>
          <w:rStyle w:val="FontStyle40"/>
          <w:sz w:val="24"/>
          <w:szCs w:val="24"/>
        </w:rPr>
        <w:t>газо</w:t>
      </w:r>
      <w:proofErr w:type="spellEnd"/>
      <w:r w:rsidRPr="00E1528D">
        <w:rPr>
          <w:rStyle w:val="FontStyle40"/>
          <w:sz w:val="24"/>
          <w:szCs w:val="24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 или по договору аренды.</w:t>
      </w:r>
      <w:r w:rsidR="00263CD7" w:rsidRPr="00E1528D">
        <w:rPr>
          <w:rStyle w:val="FontStyle40"/>
          <w:sz w:val="24"/>
          <w:szCs w:val="24"/>
        </w:rPr>
        <w:t xml:space="preserve"> Потребители тепла, которые обеспечивались услугой от ООО «</w:t>
      </w:r>
      <w:proofErr w:type="spellStart"/>
      <w:r w:rsidR="00263CD7" w:rsidRPr="00E1528D">
        <w:rPr>
          <w:rStyle w:val="FontStyle40"/>
          <w:sz w:val="24"/>
          <w:szCs w:val="24"/>
        </w:rPr>
        <w:t>Связьтранснефть</w:t>
      </w:r>
      <w:proofErr w:type="spellEnd"/>
      <w:r w:rsidR="00567EDD" w:rsidRPr="00E1528D">
        <w:rPr>
          <w:rStyle w:val="FontStyle40"/>
          <w:sz w:val="24"/>
          <w:szCs w:val="24"/>
        </w:rPr>
        <w:t>», теперь получают услугу от МУП Каргасокский «</w:t>
      </w:r>
      <w:proofErr w:type="spellStart"/>
      <w:r w:rsidR="00567EDD" w:rsidRPr="00E1528D">
        <w:rPr>
          <w:rStyle w:val="FontStyle40"/>
          <w:sz w:val="24"/>
          <w:szCs w:val="24"/>
        </w:rPr>
        <w:t>Тепловодоканал</w:t>
      </w:r>
      <w:proofErr w:type="spellEnd"/>
      <w:r w:rsidR="00567EDD" w:rsidRPr="00E1528D">
        <w:rPr>
          <w:rStyle w:val="FontStyle40"/>
          <w:sz w:val="24"/>
          <w:szCs w:val="24"/>
        </w:rPr>
        <w:t>».</w:t>
      </w:r>
    </w:p>
    <w:p w:rsidR="007F268C" w:rsidRPr="00E1528D" w:rsidRDefault="007F268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7F268C" w:rsidRPr="00E1528D" w:rsidRDefault="007F268C" w:rsidP="00E1528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8D">
        <w:rPr>
          <w:rStyle w:val="FontStyle40"/>
          <w:b/>
          <w:sz w:val="24"/>
          <w:szCs w:val="24"/>
        </w:rPr>
        <w:t>29.</w:t>
      </w:r>
      <w:r w:rsidRPr="00E152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528D">
        <w:rPr>
          <w:rFonts w:ascii="Times New Roman" w:hAnsi="Times New Roman" w:cs="Times New Roman"/>
          <w:b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7F268C" w:rsidRPr="00E1528D" w:rsidRDefault="007F268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  <w:proofErr w:type="gramStart"/>
      <w:r w:rsidRPr="00E1528D">
        <w:rPr>
          <w:rStyle w:val="FontStyle40"/>
          <w:sz w:val="24"/>
          <w:szCs w:val="24"/>
        </w:rPr>
        <w:t>Начиная с 2013 года произошел</w:t>
      </w:r>
      <w:proofErr w:type="gramEnd"/>
      <w:r w:rsidRPr="00E1528D">
        <w:rPr>
          <w:rStyle w:val="FontStyle40"/>
          <w:sz w:val="24"/>
          <w:szCs w:val="24"/>
        </w:rPr>
        <w:t xml:space="preserve"> рост числа многоквартирных домов, расположенных на земельных участках, в отношении которых осуществлен государственный кадастровый учет. Инициатором оформления земельных участков под многоквартирными домами, в которых имеется общее имущество собственников жилых помещений, стала Администрация Карг</w:t>
      </w:r>
      <w:r w:rsidR="009B5277" w:rsidRPr="00E1528D">
        <w:rPr>
          <w:rStyle w:val="FontStyle40"/>
          <w:sz w:val="24"/>
          <w:szCs w:val="24"/>
        </w:rPr>
        <w:t>асокского сельского поселения. В 2014 году государственный кадастровый учет осуществлен в 20 многоквартирных домах, в 2015 году в 7 многоквартирных домах.</w:t>
      </w:r>
    </w:p>
    <w:p w:rsidR="007F268C" w:rsidRPr="00E1528D" w:rsidRDefault="007F268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7F268C" w:rsidRPr="00E1528D" w:rsidRDefault="007F268C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</w:rPr>
        <w:t>30. </w:t>
      </w:r>
      <w:proofErr w:type="gramStart"/>
      <w:r w:rsidRPr="00E1528D">
        <w:rPr>
          <w:rFonts w:ascii="Times New Roman" w:hAnsi="Times New Roman" w:cs="Times New Roman"/>
          <w:b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  <w:proofErr w:type="gramEnd"/>
    </w:p>
    <w:p w:rsidR="007F268C" w:rsidRPr="00E1528D" w:rsidRDefault="007F268C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28D">
        <w:rPr>
          <w:rFonts w:ascii="Times New Roman" w:hAnsi="Times New Roman" w:cs="Times New Roman"/>
          <w:sz w:val="24"/>
          <w:szCs w:val="24"/>
        </w:rPr>
        <w:t>Доля населения получившего жилые помещения и улучшившего жилищные условия за 201</w:t>
      </w:r>
      <w:r w:rsidR="009B5277" w:rsidRPr="00E1528D">
        <w:rPr>
          <w:rFonts w:ascii="Times New Roman" w:hAnsi="Times New Roman" w:cs="Times New Roman"/>
          <w:sz w:val="24"/>
          <w:szCs w:val="24"/>
        </w:rPr>
        <w:t>5</w:t>
      </w:r>
      <w:r w:rsidRPr="00E1528D">
        <w:rPr>
          <w:rFonts w:ascii="Times New Roman" w:hAnsi="Times New Roman" w:cs="Times New Roman"/>
          <w:sz w:val="24"/>
          <w:szCs w:val="24"/>
        </w:rPr>
        <w:t xml:space="preserve"> год составила  </w:t>
      </w:r>
      <w:r w:rsidR="008327FE" w:rsidRPr="008327FE">
        <w:rPr>
          <w:rFonts w:ascii="Times New Roman" w:hAnsi="Times New Roman" w:cs="Times New Roman"/>
          <w:sz w:val="24"/>
          <w:szCs w:val="24"/>
        </w:rPr>
        <w:t>8,17</w:t>
      </w:r>
      <w:r w:rsidRPr="008327FE">
        <w:rPr>
          <w:rFonts w:ascii="Times New Roman" w:hAnsi="Times New Roman" w:cs="Times New Roman"/>
          <w:sz w:val="24"/>
          <w:szCs w:val="24"/>
        </w:rPr>
        <w:t>%</w:t>
      </w:r>
      <w:r w:rsidR="00CC3402">
        <w:rPr>
          <w:rFonts w:ascii="Times New Roman" w:hAnsi="Times New Roman" w:cs="Times New Roman"/>
          <w:sz w:val="24"/>
          <w:szCs w:val="24"/>
        </w:rPr>
        <w:t>, в 2015 году – 8,94%</w:t>
      </w:r>
      <w:r w:rsidRPr="008327FE">
        <w:rPr>
          <w:rFonts w:ascii="Times New Roman" w:hAnsi="Times New Roman" w:cs="Times New Roman"/>
          <w:sz w:val="24"/>
          <w:szCs w:val="24"/>
        </w:rPr>
        <w:t>.</w:t>
      </w:r>
      <w:r w:rsidR="008327FE">
        <w:rPr>
          <w:rFonts w:ascii="Times New Roman" w:hAnsi="Times New Roman" w:cs="Times New Roman"/>
          <w:sz w:val="24"/>
          <w:szCs w:val="24"/>
        </w:rPr>
        <w:t xml:space="preserve"> С</w:t>
      </w:r>
      <w:r w:rsidRPr="00E1528D">
        <w:rPr>
          <w:rFonts w:ascii="Times New Roman" w:hAnsi="Times New Roman" w:cs="Times New Roman"/>
          <w:sz w:val="24"/>
          <w:szCs w:val="24"/>
        </w:rPr>
        <w:t>нижение данного показателя связано с уменьшением количества освободившихся муниципальных жилых помещений, а так же с тем, что Администрациями сельских поселений не осуществляется строительство новых жилых помещений для муниципальных нужд, а приобретение новых жилых помещений для муниципальных нужд в 201</w:t>
      </w:r>
      <w:r w:rsidR="00352EE7" w:rsidRPr="00E1528D">
        <w:rPr>
          <w:rFonts w:ascii="Times New Roman" w:hAnsi="Times New Roman" w:cs="Times New Roman"/>
          <w:sz w:val="24"/>
          <w:szCs w:val="24"/>
        </w:rPr>
        <w:t>5</w:t>
      </w:r>
      <w:r w:rsidRPr="00E1528D">
        <w:rPr>
          <w:rFonts w:ascii="Times New Roman" w:hAnsi="Times New Roman" w:cs="Times New Roman"/>
          <w:sz w:val="24"/>
          <w:szCs w:val="24"/>
        </w:rPr>
        <w:t xml:space="preserve"> году проводилось только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 </w:t>
      </w:r>
      <w:r w:rsidR="006027B9">
        <w:rPr>
          <w:rFonts w:ascii="Times New Roman" w:hAnsi="Times New Roman" w:cs="Times New Roman"/>
          <w:sz w:val="24"/>
          <w:szCs w:val="24"/>
        </w:rPr>
        <w:t>в</w:t>
      </w:r>
      <w:r w:rsidR="00352EE7" w:rsidRPr="00E15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027B9">
        <w:rPr>
          <w:rFonts w:ascii="Times New Roman" w:hAnsi="Times New Roman" w:cs="Times New Roman"/>
          <w:sz w:val="24"/>
          <w:szCs w:val="24"/>
        </w:rPr>
        <w:t>и</w:t>
      </w:r>
      <w:r w:rsidRPr="00E1528D">
        <w:rPr>
          <w:rFonts w:ascii="Times New Roman" w:hAnsi="Times New Roman" w:cs="Times New Roman"/>
          <w:sz w:val="24"/>
          <w:szCs w:val="24"/>
        </w:rPr>
        <w:t xml:space="preserve"> в целях расселениях граждан из аварийного муниципального жилищного фонда.</w:t>
      </w:r>
    </w:p>
    <w:p w:rsidR="007F268C" w:rsidRPr="00E1528D" w:rsidRDefault="007F268C" w:rsidP="00E1528D">
      <w:pPr>
        <w:pStyle w:val="a4"/>
        <w:ind w:firstLine="567"/>
        <w:jc w:val="both"/>
        <w:rPr>
          <w:rStyle w:val="FontStyle40"/>
          <w:sz w:val="24"/>
          <w:szCs w:val="24"/>
        </w:rPr>
      </w:pPr>
    </w:p>
    <w:p w:rsidR="00461267" w:rsidRDefault="00461267" w:rsidP="002129C3">
      <w:pPr>
        <w:pStyle w:val="a4"/>
        <w:ind w:firstLine="567"/>
        <w:jc w:val="center"/>
        <w:rPr>
          <w:rStyle w:val="FontStyle45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1528D">
        <w:rPr>
          <w:rFonts w:ascii="Times New Roman" w:hAnsi="Times New Roman" w:cs="Times New Roman"/>
          <w:sz w:val="24"/>
          <w:szCs w:val="24"/>
        </w:rPr>
        <w:t xml:space="preserve">. </w:t>
      </w:r>
      <w:r w:rsidRPr="00E1528D">
        <w:rPr>
          <w:rStyle w:val="FontStyle45"/>
          <w:sz w:val="24"/>
          <w:szCs w:val="24"/>
        </w:rPr>
        <w:t>ОРГАНИЗАЦИЯ МУНИЦИПАЛЬНОГО УПРАВЛЕНИЯ</w:t>
      </w:r>
    </w:p>
    <w:p w:rsidR="002129C3" w:rsidRPr="00E1528D" w:rsidRDefault="002129C3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  <w:r w:rsidRPr="00E1528D">
        <w:rPr>
          <w:rStyle w:val="FontStyle45"/>
          <w:sz w:val="24"/>
          <w:szCs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>Налоговые и неналоговые доходы муниципального образования снижаются с 2014 года в результате: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>- уменьшения норматива отчисления от НДФЛ на</w:t>
      </w:r>
      <w:r w:rsidR="006027B9">
        <w:rPr>
          <w:rStyle w:val="FontStyle45"/>
          <w:b w:val="0"/>
          <w:sz w:val="24"/>
          <w:szCs w:val="24"/>
        </w:rPr>
        <w:t xml:space="preserve"> </w:t>
      </w:r>
      <w:r w:rsidRPr="00E1528D">
        <w:rPr>
          <w:rStyle w:val="FontStyle45"/>
          <w:b w:val="0"/>
          <w:sz w:val="24"/>
          <w:szCs w:val="24"/>
        </w:rPr>
        <w:t>5% в 2014 году;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- уменьшения поступления платы за негативное воздействие на окружающую среду в связи с проведением зачетов </w:t>
      </w:r>
      <w:proofErr w:type="spellStart"/>
      <w:r w:rsidRPr="00E1528D">
        <w:rPr>
          <w:rStyle w:val="FontStyle45"/>
          <w:b w:val="0"/>
          <w:sz w:val="24"/>
          <w:szCs w:val="24"/>
        </w:rPr>
        <w:t>недропользователей</w:t>
      </w:r>
      <w:proofErr w:type="spellEnd"/>
      <w:r w:rsidRPr="00E1528D">
        <w:rPr>
          <w:rStyle w:val="FontStyle45"/>
          <w:b w:val="0"/>
          <w:sz w:val="24"/>
          <w:szCs w:val="24"/>
        </w:rPr>
        <w:t xml:space="preserve"> в счет платы за негативное воздействие своих фактических затрат на реализацию проектов по полезному использованию попутного газа. 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>Уменьшение общего объема собственных доходов в 2016 году ожидается в значительно меньшем размере, чем снижение налоговых и неналоговых доходов, поэтому доля налоговых и неналоговых доходов в общем объеме собственных доходов значительно снизится.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>В 2017-2018 годах запланирован рост налоговых и неналоговых доходов в связи с ожидаемым ростом НДФЛ и увеличением норматива отчислений от платы за негативное воздействие на окружающую среду.</w:t>
      </w:r>
    </w:p>
    <w:p w:rsidR="004D41CF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В 2017-2018 годах доля налоговых и неналоговых доходов увеличится в связи с тем, что ожидаемый рост налоговых и неналоговых доходов больше, чем уменьшение собственных доходов, а также в суммах безвозмездных поступлений из областного бюджета пока нет бюджетных ассигнований на </w:t>
      </w:r>
      <w:proofErr w:type="spellStart"/>
      <w:r w:rsidRPr="00E1528D">
        <w:rPr>
          <w:rStyle w:val="FontStyle45"/>
          <w:b w:val="0"/>
          <w:sz w:val="24"/>
          <w:szCs w:val="24"/>
        </w:rPr>
        <w:t>софинансирование</w:t>
      </w:r>
      <w:proofErr w:type="spellEnd"/>
      <w:r w:rsidRPr="00E1528D">
        <w:rPr>
          <w:rStyle w:val="FontStyle45"/>
          <w:b w:val="0"/>
          <w:sz w:val="24"/>
          <w:szCs w:val="24"/>
        </w:rPr>
        <w:t xml:space="preserve"> капитальных вложений.</w:t>
      </w:r>
    </w:p>
    <w:p w:rsidR="001A0EE2" w:rsidRDefault="001A0EE2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</w:p>
    <w:p w:rsidR="001A0EE2" w:rsidRPr="00E86529" w:rsidRDefault="001A0EE2" w:rsidP="001A0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529">
        <w:rPr>
          <w:rFonts w:ascii="Times New Roman" w:hAnsi="Times New Roman" w:cs="Times New Roman"/>
          <w:b/>
          <w:sz w:val="24"/>
          <w:szCs w:val="24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1A0EE2" w:rsidRPr="004B3502" w:rsidRDefault="001A0EE2" w:rsidP="001A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конец отчетного года в стадии банкротства состоит одно предприятие МУП ЖКХ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П</w:t>
      </w:r>
      <w:r w:rsidRPr="00E86529">
        <w:rPr>
          <w:rFonts w:ascii="Times New Roman" w:hAnsi="Times New Roman" w:cs="Times New Roman"/>
          <w:sz w:val="24"/>
          <w:szCs w:val="24"/>
        </w:rPr>
        <w:t>олная учетная стоимость основных фондов организаций муниципальной формы собственности, находящихся в стадии банкротства</w:t>
      </w:r>
      <w:r>
        <w:rPr>
          <w:rFonts w:ascii="Times New Roman" w:hAnsi="Times New Roman" w:cs="Times New Roman"/>
          <w:sz w:val="24"/>
          <w:szCs w:val="24"/>
        </w:rPr>
        <w:t>, составляет 22471000 руб. П</w:t>
      </w:r>
      <w:r w:rsidRPr="00E86529">
        <w:rPr>
          <w:rFonts w:ascii="Times New Roman" w:hAnsi="Times New Roman" w:cs="Times New Roman"/>
          <w:sz w:val="24"/>
          <w:szCs w:val="24"/>
        </w:rPr>
        <w:t>олная учетная стоимость основных фондов всех организаций муниципальной формы собственности на конец года</w:t>
      </w:r>
      <w:r>
        <w:rPr>
          <w:rFonts w:ascii="Times New Roman" w:hAnsi="Times New Roman" w:cs="Times New Roman"/>
          <w:sz w:val="24"/>
          <w:szCs w:val="24"/>
        </w:rPr>
        <w:t xml:space="preserve"> составила 2 863 078 </w:t>
      </w:r>
      <w:r w:rsidRPr="00E8652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 руб.</w:t>
      </w:r>
    </w:p>
    <w:p w:rsidR="001A0C98" w:rsidRPr="00E1528D" w:rsidRDefault="001A0C98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</w:p>
    <w:p w:rsidR="001A0C98" w:rsidRPr="00E1528D" w:rsidRDefault="001A0C98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  <w:r w:rsidRPr="00E1528D">
        <w:rPr>
          <w:rStyle w:val="FontStyle45"/>
          <w:sz w:val="24"/>
          <w:szCs w:val="24"/>
        </w:rPr>
        <w:t>33. Объем незавершенного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4D41CF" w:rsidRPr="00E1528D" w:rsidRDefault="00E14DFC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В 2015 году объем незавершенного </w:t>
      </w:r>
      <w:r w:rsidR="00574005" w:rsidRPr="00E1528D">
        <w:rPr>
          <w:rStyle w:val="FontStyle45"/>
          <w:b w:val="0"/>
          <w:sz w:val="24"/>
          <w:szCs w:val="24"/>
        </w:rPr>
        <w:t xml:space="preserve">в установленные сроки </w:t>
      </w:r>
      <w:r w:rsidRPr="00E1528D">
        <w:rPr>
          <w:rStyle w:val="FontStyle45"/>
          <w:b w:val="0"/>
          <w:sz w:val="24"/>
          <w:szCs w:val="24"/>
        </w:rPr>
        <w:t>строительства сложился по трем объектам:</w:t>
      </w:r>
    </w:p>
    <w:p w:rsidR="00E14DFC" w:rsidRPr="00E1528D" w:rsidRDefault="00E14DFC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- Газоснабжение МКР в границах </w:t>
      </w:r>
      <w:proofErr w:type="spellStart"/>
      <w:r w:rsidRPr="00E1528D">
        <w:rPr>
          <w:rStyle w:val="FontStyle45"/>
          <w:b w:val="0"/>
          <w:sz w:val="24"/>
          <w:szCs w:val="24"/>
        </w:rPr>
        <w:t>ул</w:t>
      </w:r>
      <w:proofErr w:type="gramStart"/>
      <w:r w:rsidRPr="00E1528D">
        <w:rPr>
          <w:rStyle w:val="FontStyle45"/>
          <w:b w:val="0"/>
          <w:sz w:val="24"/>
          <w:szCs w:val="24"/>
        </w:rPr>
        <w:t>.П</w:t>
      </w:r>
      <w:proofErr w:type="gramEnd"/>
      <w:r w:rsidRPr="00E1528D">
        <w:rPr>
          <w:rStyle w:val="FontStyle45"/>
          <w:b w:val="0"/>
          <w:sz w:val="24"/>
          <w:szCs w:val="24"/>
        </w:rPr>
        <w:t>ушкина-Лесная</w:t>
      </w:r>
      <w:proofErr w:type="spellEnd"/>
      <w:r w:rsidRPr="00E1528D">
        <w:rPr>
          <w:rStyle w:val="FontStyle45"/>
          <w:b w:val="0"/>
          <w:sz w:val="24"/>
          <w:szCs w:val="24"/>
        </w:rPr>
        <w:t xml:space="preserve">, </w:t>
      </w:r>
      <w:proofErr w:type="spellStart"/>
      <w:r w:rsidRPr="00E1528D">
        <w:rPr>
          <w:rStyle w:val="FontStyle45"/>
          <w:b w:val="0"/>
          <w:sz w:val="24"/>
          <w:szCs w:val="24"/>
        </w:rPr>
        <w:t>пер.Производственный-ул.Красноармейская</w:t>
      </w:r>
      <w:proofErr w:type="spellEnd"/>
      <w:r w:rsidRPr="00E1528D">
        <w:rPr>
          <w:rStyle w:val="FontStyle45"/>
          <w:b w:val="0"/>
          <w:sz w:val="24"/>
          <w:szCs w:val="24"/>
        </w:rPr>
        <w:t>. По причине отсутствия кадастрового паспорта;</w:t>
      </w:r>
    </w:p>
    <w:p w:rsidR="00E14DFC" w:rsidRPr="00E1528D" w:rsidRDefault="00E14DFC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>- Комплексная спортивная площадка  с</w:t>
      </w:r>
      <w:proofErr w:type="gramStart"/>
      <w:r w:rsidRPr="00E1528D">
        <w:rPr>
          <w:rStyle w:val="FontStyle45"/>
          <w:b w:val="0"/>
          <w:sz w:val="24"/>
          <w:szCs w:val="24"/>
        </w:rPr>
        <w:t>.Н</w:t>
      </w:r>
      <w:proofErr w:type="gramEnd"/>
      <w:r w:rsidRPr="00E1528D">
        <w:rPr>
          <w:rStyle w:val="FontStyle45"/>
          <w:b w:val="0"/>
          <w:sz w:val="24"/>
          <w:szCs w:val="24"/>
        </w:rPr>
        <w:t xml:space="preserve">овый </w:t>
      </w:r>
      <w:proofErr w:type="spellStart"/>
      <w:r w:rsidRPr="00E1528D">
        <w:rPr>
          <w:rStyle w:val="FontStyle45"/>
          <w:b w:val="0"/>
          <w:sz w:val="24"/>
          <w:szCs w:val="24"/>
        </w:rPr>
        <w:t>Васюган</w:t>
      </w:r>
      <w:proofErr w:type="spellEnd"/>
      <w:r w:rsidRPr="00E1528D">
        <w:rPr>
          <w:rStyle w:val="FontStyle45"/>
          <w:b w:val="0"/>
          <w:sz w:val="24"/>
          <w:szCs w:val="24"/>
        </w:rPr>
        <w:t>. По причине расторжения в одностороннем порядке муниципального контракта из-за неисполнения подрядчиком своих обязательств;</w:t>
      </w:r>
    </w:p>
    <w:p w:rsidR="00E14DFC" w:rsidRPr="00E1528D" w:rsidRDefault="00E14DFC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- Реконструкция детского сада </w:t>
      </w:r>
      <w:r w:rsidR="006027B9">
        <w:rPr>
          <w:rStyle w:val="FontStyle45"/>
          <w:b w:val="0"/>
          <w:sz w:val="24"/>
          <w:szCs w:val="24"/>
        </w:rPr>
        <w:t>«</w:t>
      </w:r>
      <w:proofErr w:type="spellStart"/>
      <w:r w:rsidRPr="00E1528D">
        <w:rPr>
          <w:rStyle w:val="FontStyle45"/>
          <w:b w:val="0"/>
          <w:sz w:val="24"/>
          <w:szCs w:val="24"/>
        </w:rPr>
        <w:t>Аленушка</w:t>
      </w:r>
      <w:proofErr w:type="spellEnd"/>
      <w:r w:rsidR="006027B9">
        <w:rPr>
          <w:rStyle w:val="FontStyle45"/>
          <w:b w:val="0"/>
          <w:sz w:val="24"/>
          <w:szCs w:val="24"/>
        </w:rPr>
        <w:t>»</w:t>
      </w:r>
      <w:r w:rsidRPr="00E1528D">
        <w:rPr>
          <w:rStyle w:val="FontStyle45"/>
          <w:b w:val="0"/>
          <w:sz w:val="24"/>
          <w:szCs w:val="24"/>
        </w:rPr>
        <w:t xml:space="preserve"> в </w:t>
      </w:r>
      <w:proofErr w:type="spellStart"/>
      <w:r w:rsidRPr="00E1528D">
        <w:rPr>
          <w:rStyle w:val="FontStyle45"/>
          <w:b w:val="0"/>
          <w:sz w:val="24"/>
          <w:szCs w:val="24"/>
        </w:rPr>
        <w:t>с</w:t>
      </w:r>
      <w:proofErr w:type="gramStart"/>
      <w:r w:rsidRPr="00E1528D">
        <w:rPr>
          <w:rStyle w:val="FontStyle45"/>
          <w:b w:val="0"/>
          <w:sz w:val="24"/>
          <w:szCs w:val="24"/>
        </w:rPr>
        <w:t>.К</w:t>
      </w:r>
      <w:proofErr w:type="gramEnd"/>
      <w:r w:rsidRPr="00E1528D">
        <w:rPr>
          <w:rStyle w:val="FontStyle45"/>
          <w:b w:val="0"/>
          <w:sz w:val="24"/>
          <w:szCs w:val="24"/>
        </w:rPr>
        <w:t>аргасок</w:t>
      </w:r>
      <w:proofErr w:type="spellEnd"/>
      <w:r w:rsidRPr="00E1528D">
        <w:rPr>
          <w:rStyle w:val="FontStyle45"/>
          <w:b w:val="0"/>
          <w:sz w:val="24"/>
          <w:szCs w:val="24"/>
        </w:rPr>
        <w:t>. По причине несвоевременного исполнения подрядчиком своих обязательств.</w:t>
      </w:r>
    </w:p>
    <w:p w:rsidR="001A0C98" w:rsidRPr="00E1528D" w:rsidRDefault="001A0C98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  <w:r w:rsidRPr="00E1528D">
        <w:rPr>
          <w:rStyle w:val="FontStyle45"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Рост расходов на содержание работников органов местного самоуправления в расчете на 1 жителя  связан со снижением численности населения. С 2015 года рост оплаты труда работников органов местного самоуправления </w:t>
      </w:r>
      <w:r w:rsidR="00A32AF6">
        <w:rPr>
          <w:rStyle w:val="FontStyle45"/>
          <w:b w:val="0"/>
          <w:sz w:val="24"/>
          <w:szCs w:val="24"/>
        </w:rPr>
        <w:t>отсутствует</w:t>
      </w:r>
      <w:proofErr w:type="gramStart"/>
      <w:r w:rsidR="00A32AF6">
        <w:rPr>
          <w:rStyle w:val="FontStyle45"/>
          <w:b w:val="0"/>
          <w:sz w:val="24"/>
          <w:szCs w:val="24"/>
        </w:rPr>
        <w:t>.</w:t>
      </w:r>
      <w:r w:rsidRPr="00E1528D">
        <w:rPr>
          <w:rStyle w:val="FontStyle45"/>
          <w:b w:val="0"/>
          <w:sz w:val="24"/>
          <w:szCs w:val="24"/>
        </w:rPr>
        <w:t xml:space="preserve">.  </w:t>
      </w:r>
      <w:proofErr w:type="gramEnd"/>
      <w:r w:rsidRPr="00E1528D">
        <w:rPr>
          <w:rStyle w:val="FontStyle45"/>
          <w:b w:val="0"/>
          <w:sz w:val="24"/>
          <w:szCs w:val="24"/>
        </w:rPr>
        <w:t>Фонд оплаты труда планируется в соответствии с утвержденными штатными расписаниями и с соблюдением установленных нормативов.</w:t>
      </w:r>
    </w:p>
    <w:p w:rsidR="004D41CF" w:rsidRPr="00E1528D" w:rsidRDefault="004D41CF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</w:p>
    <w:p w:rsidR="00461267" w:rsidRPr="00E1528D" w:rsidRDefault="00461267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  <w:r w:rsidRPr="00E1528D">
        <w:rPr>
          <w:rStyle w:val="FontStyle45"/>
          <w:sz w:val="24"/>
          <w:szCs w:val="24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461267" w:rsidRPr="00E1528D" w:rsidRDefault="00461267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>Схема территориального планирования муниципального образования «Каргасокский район» утверждена в 2013 году.</w:t>
      </w:r>
    </w:p>
    <w:p w:rsidR="00461267" w:rsidRPr="00E1528D" w:rsidRDefault="00461267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</w:p>
    <w:p w:rsidR="009B1920" w:rsidRPr="00E1528D" w:rsidRDefault="009B1920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sz w:val="24"/>
          <w:szCs w:val="24"/>
        </w:rPr>
        <w:t>37. Удовлетворенность населения деятельностью органов местного самоуправления городского округа (муниципального района).</w:t>
      </w:r>
    </w:p>
    <w:p w:rsidR="009B1920" w:rsidRDefault="009B1920" w:rsidP="00E1528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Удовлетворенность населения деятельностью органов местного самоуправления района в 2015 году снизилась на </w:t>
      </w:r>
      <w:r w:rsidR="00A63D78">
        <w:rPr>
          <w:rFonts w:ascii="Times New Roman" w:hAnsi="Times New Roman" w:cs="Times New Roman"/>
          <w:sz w:val="24"/>
          <w:szCs w:val="24"/>
        </w:rPr>
        <w:t>50,4</w:t>
      </w:r>
      <w:r w:rsidRPr="00E1528D">
        <w:rPr>
          <w:rFonts w:ascii="Times New Roman" w:hAnsi="Times New Roman" w:cs="Times New Roman"/>
          <w:sz w:val="24"/>
          <w:szCs w:val="24"/>
        </w:rPr>
        <w:t>% и составила 3</w:t>
      </w:r>
      <w:r w:rsidR="00A63D78">
        <w:rPr>
          <w:rFonts w:ascii="Times New Roman" w:hAnsi="Times New Roman" w:cs="Times New Roman"/>
          <w:sz w:val="24"/>
          <w:szCs w:val="24"/>
        </w:rPr>
        <w:t>0,2</w:t>
      </w:r>
      <w:r w:rsidRPr="00E1528D">
        <w:rPr>
          <w:rFonts w:ascii="Times New Roman" w:hAnsi="Times New Roman" w:cs="Times New Roman"/>
          <w:sz w:val="24"/>
          <w:szCs w:val="24"/>
        </w:rPr>
        <w:t>%. Общая экономическая ситуация в стране</w:t>
      </w:r>
      <w:r w:rsidR="001913E1" w:rsidRPr="00E1528D">
        <w:rPr>
          <w:rFonts w:ascii="Times New Roman" w:hAnsi="Times New Roman" w:cs="Times New Roman"/>
          <w:sz w:val="24"/>
          <w:szCs w:val="24"/>
        </w:rPr>
        <w:t xml:space="preserve">, которая не отличается стабильностью, </w:t>
      </w:r>
      <w:r w:rsidRPr="00E1528D">
        <w:rPr>
          <w:rFonts w:ascii="Times New Roman" w:hAnsi="Times New Roman" w:cs="Times New Roman"/>
          <w:sz w:val="24"/>
          <w:szCs w:val="24"/>
        </w:rPr>
        <w:t xml:space="preserve"> наложила отпечаток и на </w:t>
      </w:r>
      <w:r w:rsidR="001913E1" w:rsidRPr="00E1528D">
        <w:rPr>
          <w:rFonts w:ascii="Times New Roman" w:hAnsi="Times New Roman" w:cs="Times New Roman"/>
          <w:sz w:val="24"/>
          <w:szCs w:val="24"/>
        </w:rPr>
        <w:t>состояние экономики района. Существенно снижены инвестиции районного бюджета в социальную и инженерную сферы, что естественным образом отражается на</w:t>
      </w:r>
      <w:r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</w:t>
      </w:r>
      <w:r w:rsidR="001913E1"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самочувствии </w:t>
      </w:r>
      <w:r w:rsidR="00023440"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</w:t>
      </w:r>
      <w:r w:rsidR="001913E1"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характер отношения людей к </w:t>
      </w:r>
      <w:r w:rsidRPr="00E15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происходящ</w:t>
      </w:r>
      <w:r w:rsidR="001913E1" w:rsidRPr="00E15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15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913E1" w:rsidRPr="00E152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13E1" w:rsidRPr="00E15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3E3F" w:rsidRPr="00E1528D" w:rsidRDefault="00713E3F" w:rsidP="00E1528D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61267" w:rsidRPr="00E1528D" w:rsidRDefault="00461267" w:rsidP="00E1528D">
      <w:pPr>
        <w:pStyle w:val="a4"/>
        <w:ind w:firstLine="567"/>
        <w:jc w:val="both"/>
        <w:rPr>
          <w:rStyle w:val="FontStyle45"/>
          <w:sz w:val="24"/>
          <w:szCs w:val="24"/>
        </w:rPr>
      </w:pPr>
      <w:r w:rsidRPr="00E1528D">
        <w:rPr>
          <w:rStyle w:val="FontStyle45"/>
          <w:sz w:val="24"/>
          <w:szCs w:val="24"/>
        </w:rPr>
        <w:t>38. Среднегодовая численность постоянного населения.</w:t>
      </w:r>
    </w:p>
    <w:p w:rsidR="00461267" w:rsidRPr="00E1528D" w:rsidRDefault="00461267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t xml:space="preserve">Среднегодовая численность населения Каргасокского района на 01.01.2016 составила 19,9 тыс. человек. </w:t>
      </w:r>
    </w:p>
    <w:p w:rsidR="003C061C" w:rsidRPr="00E1528D" w:rsidRDefault="003C061C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Демографическая ситуация в   2015 году в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  районе характеризовалась  процессом естественной прибыли населения, обусловленным превышением числа 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 над числом умерших.  В  2015 году по отношению к  2014 году рождаемость уменьшилась на  14.9%, смертность составила 82.5 %. Естественная прибыль составила  7  человек.</w:t>
      </w:r>
    </w:p>
    <w:p w:rsidR="00461267" w:rsidRPr="00E1528D" w:rsidRDefault="00461267" w:rsidP="00E1528D">
      <w:pPr>
        <w:pStyle w:val="a4"/>
        <w:ind w:firstLine="567"/>
        <w:jc w:val="both"/>
        <w:rPr>
          <w:rStyle w:val="FontStyle45"/>
          <w:b w:val="0"/>
          <w:sz w:val="24"/>
          <w:szCs w:val="24"/>
        </w:rPr>
      </w:pPr>
      <w:r w:rsidRPr="00E1528D">
        <w:rPr>
          <w:rStyle w:val="FontStyle45"/>
          <w:b w:val="0"/>
          <w:sz w:val="24"/>
          <w:szCs w:val="24"/>
        </w:rPr>
        <w:lastRenderedPageBreak/>
        <w:t>В 201</w:t>
      </w:r>
      <w:r w:rsidR="003C061C" w:rsidRPr="00E1528D">
        <w:rPr>
          <w:rStyle w:val="FontStyle45"/>
          <w:b w:val="0"/>
          <w:sz w:val="24"/>
          <w:szCs w:val="24"/>
        </w:rPr>
        <w:t>5</w:t>
      </w:r>
      <w:r w:rsidRPr="00E1528D">
        <w:rPr>
          <w:rStyle w:val="FontStyle45"/>
          <w:b w:val="0"/>
          <w:sz w:val="24"/>
          <w:szCs w:val="24"/>
        </w:rPr>
        <w:t xml:space="preserve"> году миграционная убыль составила </w:t>
      </w:r>
      <w:r w:rsidR="003C061C" w:rsidRPr="00E1528D">
        <w:rPr>
          <w:rStyle w:val="FontStyle45"/>
          <w:b w:val="0"/>
          <w:sz w:val="24"/>
          <w:szCs w:val="24"/>
        </w:rPr>
        <w:t>274</w:t>
      </w:r>
      <w:r w:rsidRPr="00E1528D">
        <w:rPr>
          <w:rStyle w:val="FontStyle45"/>
          <w:b w:val="0"/>
          <w:sz w:val="24"/>
          <w:szCs w:val="24"/>
        </w:rPr>
        <w:t xml:space="preserve"> человека</w:t>
      </w:r>
      <w:r w:rsidR="003C061C" w:rsidRPr="00E1528D">
        <w:rPr>
          <w:rStyle w:val="FontStyle45"/>
          <w:b w:val="0"/>
          <w:sz w:val="24"/>
          <w:szCs w:val="24"/>
        </w:rPr>
        <w:t xml:space="preserve"> (69,5% от уровня 2014 года)</w:t>
      </w:r>
      <w:r w:rsidRPr="00E1528D">
        <w:rPr>
          <w:rStyle w:val="FontStyle45"/>
          <w:b w:val="0"/>
          <w:sz w:val="24"/>
          <w:szCs w:val="24"/>
        </w:rPr>
        <w:t>.</w:t>
      </w:r>
    </w:p>
    <w:p w:rsidR="00102B36" w:rsidRPr="00E1528D" w:rsidRDefault="00102B36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5C1" w:rsidRPr="00E1528D" w:rsidRDefault="007F65C1" w:rsidP="002129C3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1528D">
        <w:rPr>
          <w:rFonts w:ascii="Times New Roman" w:hAnsi="Times New Roman" w:cs="Times New Roman"/>
          <w:b/>
          <w:sz w:val="24"/>
          <w:szCs w:val="24"/>
        </w:rPr>
        <w:t>. ЭНЕРГОСБЕРЕЖЕНИЕ И ПОВЫШЕНИЕ ЭНЕРГЕТИЧЕСКОЙ ЭФФЕКТИВНОСТИ</w:t>
      </w:r>
    </w:p>
    <w:p w:rsidR="007F65C1" w:rsidRPr="00E1528D" w:rsidRDefault="007F65C1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528D">
        <w:rPr>
          <w:rFonts w:ascii="Times New Roman" w:hAnsi="Times New Roman" w:cs="Times New Roman"/>
          <w:b/>
          <w:bCs/>
          <w:sz w:val="24"/>
          <w:szCs w:val="24"/>
        </w:rPr>
        <w:t>39.</w:t>
      </w:r>
      <w:r w:rsidRPr="00E1528D">
        <w:rPr>
          <w:rFonts w:ascii="Times New Roman" w:hAnsi="Times New Roman" w:cs="Times New Roman"/>
          <w:b/>
          <w:sz w:val="24"/>
          <w:szCs w:val="24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</w:t>
      </w:r>
      <w:proofErr w:type="gramEnd"/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Значения плановых показателей удельной величины потребления электрической энергии в 2016-2018 г.г. приведены в соответствие со Стратегией социально-экономического развития МО "Каргасокский район" до 2025 г. </w:t>
      </w: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Значения плановых показателей удельной величины потребления холодной воды в 2016-2018 г.г. приведены в соответствие со Стратегией социально-экономического развития МО "Каргасокский район" до 2025 года. Рост показателей обусловлен планируемым развитием систем водоснабжения (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. Средний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>).</w:t>
      </w: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Значение показателя удельной величины потребления природного газа в 2015 году обусловлено погодными условиями, которые характеризовались аномально теплыми температурами наружного воздуха.</w:t>
      </w:r>
    </w:p>
    <w:p w:rsidR="005339B0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Прогнозные значения показателей удельной величины потребления природного газа в 2016-2018 г.г. обусловлены планируемым развитием газификации района.</w:t>
      </w: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8D">
        <w:rPr>
          <w:rFonts w:ascii="Times New Roman" w:hAnsi="Times New Roman" w:cs="Times New Roman"/>
          <w:b/>
          <w:sz w:val="24"/>
          <w:szCs w:val="24"/>
        </w:rPr>
        <w:t xml:space="preserve"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учреждениями. </w:t>
      </w: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Рост показателя удельной величины потребления электрической энергии 2015 г. и плановых показателей 2016-2018 г.г. обусловлен следующими факторами: в связи с закрытием котельной в 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. Средний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, учреждения культуры были переведены на автономное теплоснабжение от электрических обогревателей, а также вводом в эксплуатацию в 2015 году здания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/сада №22 на 145 мест. Кроме того вводимые после капитального ремонта и реконструкции здания муниципальных учреждений оснащаются системами вентиляции и технологическим оборудованием. Так потребление электрической энергии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/культуры в с. Средний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 в 2014 году составило 14 416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E1528D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E1528D">
        <w:rPr>
          <w:rFonts w:ascii="Times New Roman" w:hAnsi="Times New Roman" w:cs="Times New Roman"/>
          <w:sz w:val="24"/>
          <w:szCs w:val="24"/>
        </w:rPr>
        <w:t xml:space="preserve">., а в 2015 году -  55 437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. МБДОУ Каргасокский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/сад №22 потребление электрической энергии </w:t>
      </w:r>
      <w:bookmarkStart w:id="2" w:name="_GoBack"/>
      <w:bookmarkEnd w:id="2"/>
      <w:r w:rsidRPr="00E1528D">
        <w:rPr>
          <w:rFonts w:ascii="Times New Roman" w:hAnsi="Times New Roman" w:cs="Times New Roman"/>
          <w:sz w:val="24"/>
          <w:szCs w:val="24"/>
        </w:rPr>
        <w:t xml:space="preserve">в 2014 году составило 22 390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, а в 2015 году – 84 370 тыс.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>Рост плановых показателей удельной величины потребления холодной воды 2016-2018 г.г. обусловлен снижением численности населения.</w:t>
      </w:r>
    </w:p>
    <w:p w:rsidR="005339B0" w:rsidRPr="00E1528D" w:rsidRDefault="005339B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28D">
        <w:rPr>
          <w:rFonts w:ascii="Times New Roman" w:hAnsi="Times New Roman" w:cs="Times New Roman"/>
          <w:sz w:val="24"/>
          <w:szCs w:val="24"/>
        </w:rPr>
        <w:t xml:space="preserve">Рост показателя удельной величины потребления природного газа в 2015 году обусловлен вводом в эксплуатацию после капитального ремонта </w:t>
      </w:r>
      <w:proofErr w:type="spellStart"/>
      <w:r w:rsidRPr="00E152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1528D">
        <w:rPr>
          <w:rFonts w:ascii="Times New Roman" w:hAnsi="Times New Roman" w:cs="Times New Roman"/>
          <w:sz w:val="24"/>
          <w:szCs w:val="24"/>
        </w:rPr>
        <w:t>/культуры "Геолог" (конец 2014 года). В период проведения капитального ремонта потребление газа учреждением не было. На рост плановых показателей 2016-2017 г.г. также влияет снижение численности населения.</w:t>
      </w:r>
    </w:p>
    <w:p w:rsidR="000A3DC0" w:rsidRDefault="000A3DC0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E1528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92" w:rsidRDefault="00342592" w:rsidP="00342592">
      <w:pPr>
        <w:pStyle w:val="a4"/>
        <w:ind w:left="-1701" w:firstLine="1701"/>
        <w:jc w:val="both"/>
        <w:rPr>
          <w:rFonts w:ascii="Times New Roman" w:hAnsi="Times New Roman" w:cs="Times New Roman"/>
          <w:sz w:val="24"/>
          <w:szCs w:val="24"/>
        </w:rPr>
        <w:sectPr w:rsidR="00342592" w:rsidSect="00415E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23" w:type="dxa"/>
        <w:tblInd w:w="91" w:type="dxa"/>
        <w:tblLayout w:type="fixed"/>
        <w:tblLook w:val="04A0"/>
      </w:tblPr>
      <w:tblGrid>
        <w:gridCol w:w="18"/>
        <w:gridCol w:w="221"/>
        <w:gridCol w:w="229"/>
        <w:gridCol w:w="401"/>
        <w:gridCol w:w="2478"/>
        <w:gridCol w:w="1052"/>
        <w:gridCol w:w="1096"/>
        <w:gridCol w:w="415"/>
        <w:gridCol w:w="1064"/>
        <w:gridCol w:w="1060"/>
        <w:gridCol w:w="45"/>
        <w:gridCol w:w="1016"/>
        <w:gridCol w:w="17"/>
        <w:gridCol w:w="1033"/>
        <w:gridCol w:w="11"/>
        <w:gridCol w:w="1061"/>
        <w:gridCol w:w="1064"/>
        <w:gridCol w:w="1064"/>
        <w:gridCol w:w="1263"/>
        <w:gridCol w:w="185"/>
        <w:gridCol w:w="830"/>
      </w:tblGrid>
      <w:tr w:rsidR="00342592" w:rsidRPr="00342592" w:rsidTr="0075020E">
        <w:trPr>
          <w:gridAfter w:val="2"/>
          <w:wAfter w:w="1015" w:type="dxa"/>
          <w:trHeight w:val="300"/>
        </w:trPr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RANGE!A1:K169"/>
            <w:bookmarkEnd w:id="3"/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592" w:rsidRPr="00342592" w:rsidRDefault="00342592" w:rsidP="00342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6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1F62">
              <w:rPr>
                <w:rFonts w:ascii="Times New Roman" w:hAnsi="Times New Roman"/>
                <w:color w:val="000000"/>
                <w:sz w:val="18"/>
                <w:szCs w:val="18"/>
              </w:rPr>
              <w:t>I. Показатели эффективности деятельности органов местного самоуправления городского округа (муниципального района)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0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5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1F62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 "Каргасокский район"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53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A1F62">
              <w:rPr>
                <w:rFonts w:ascii="Times New Roman" w:hAnsi="Times New Roman"/>
                <w:color w:val="000000"/>
                <w:sz w:val="15"/>
                <w:szCs w:val="15"/>
              </w:rPr>
              <w:t>(официальное наименование городского округа (муниципального района))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2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5307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Отчетная информация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514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6" w:type="dxa"/>
            <w:gridSpan w:val="1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Экономическое развитие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единиц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326,21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290,10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278,89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302,89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309,91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316,46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14,26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11,80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14,20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14,22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14,25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14,28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874 276,00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620 526,00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740 197,00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837 438,00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934 757,00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967 531,00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4.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19,80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19,78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19,79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23,03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25,94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29,31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5.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Доля прибыльных сельскохозяйственных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организаций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в общем их числе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6.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120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7.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40,47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40,30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40,30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39,40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39,10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8.</w:t>
            </w: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крупных и средних предприятий и некоммерческих организаций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41 491,20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43 875,60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46 130,80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50 014,00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53 015,00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56 196,00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муниципальных дошкольных образовательных учреждений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19 786,90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22 951,40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24 544,90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24 702,00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24 702,00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24 702,00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муниципальны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x</w:t>
            </w:r>
            <w:proofErr w:type="spellEnd"/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общеобразовательных учреждений: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29 508,70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32 934,70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32 993,90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32 113,00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32 113,00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32 113,00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работников муниципальных учреждений культуры и искусства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21 055,70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27 776,00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28 200,00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25 618,00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55 607,40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62 412,00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работников муниципальных учреждений физической культуры и спорта</w:t>
            </w:r>
          </w:p>
        </w:tc>
        <w:tc>
          <w:tcPr>
            <w:tcW w:w="151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75020E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7" w:type="dxa"/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6" w:type="dxa"/>
            <w:gridSpan w:val="1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Дошкольное образование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0E" w:rsidRDefault="0075020E" w:rsidP="0075020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75020E">
          <w:footerReference w:type="default" r:id="rId5"/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"/>
        <w:gridCol w:w="630"/>
        <w:gridCol w:w="3532"/>
        <w:gridCol w:w="1512"/>
        <w:gridCol w:w="1062"/>
        <w:gridCol w:w="1061"/>
        <w:gridCol w:w="1061"/>
        <w:gridCol w:w="1061"/>
        <w:gridCol w:w="1062"/>
        <w:gridCol w:w="1061"/>
        <w:gridCol w:w="2514"/>
        <w:gridCol w:w="829"/>
      </w:tblGrid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3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51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06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Отчетная информация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51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9.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64,34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63,53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62,62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67,36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68,45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68,45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10.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22,04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22,09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12,04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10,90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9,26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11.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41,67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33,33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16,67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8,33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8,33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Общее и дополнительное образование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12.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Доля выпускников, сдавших единый государственный экзамен (ЕГЭ) по русскому языку и математике, в общей численности выпускников муниципальных общеобразовательных учреждений, </w:t>
            </w:r>
            <w:proofErr w:type="spell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сдаваших</w:t>
            </w:r>
            <w:proofErr w:type="spell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единый государственный экзамен по данным предметам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96,12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99,32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99,29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99,17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13.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3,85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0,68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0,71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0,83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14.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71,97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73,62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72,61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72,52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73,60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74,02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15.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45,00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38,89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33,33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16.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Доля детей первой и второй групп здоровья в общей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численности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92,85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90,33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87,11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86,90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85,34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85,37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17.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численности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28,69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30,11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22,84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23,62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26,47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29,30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18.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тыс. 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122,99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142,54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143,27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146,10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135,85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132,06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0E" w:rsidRDefault="0075020E" w:rsidP="0075020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75020E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"/>
        <w:gridCol w:w="630"/>
        <w:gridCol w:w="3532"/>
        <w:gridCol w:w="1512"/>
        <w:gridCol w:w="1062"/>
        <w:gridCol w:w="1061"/>
        <w:gridCol w:w="1061"/>
        <w:gridCol w:w="1061"/>
        <w:gridCol w:w="1062"/>
        <w:gridCol w:w="1061"/>
        <w:gridCol w:w="2514"/>
        <w:gridCol w:w="829"/>
      </w:tblGrid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3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51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06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Отчетная информация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51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19.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42,79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32,73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32,89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33,50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34,11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34,19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Культура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20.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клубами и учреждениями клубного типа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168,18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154,17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82,61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82,61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82,61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82,61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библиотеками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7,69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7,69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56,41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56,41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56,41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56,41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парками культуры и отдыха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21.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14,71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9,76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7,14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7,14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22.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23.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22,60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23,26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23,31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23,50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23,30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23,30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Жилищное строительство и обеспечение граждан жильем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24.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кв. метров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23,70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24,30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24,76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25,10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25,50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25.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Площадь земельных участков, предоставленных для строительства в расчете на 10 тыс. человек населения - всего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га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19,74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16,30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3,59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16,99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17,52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17,85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694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га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5,28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5,30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4,68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4,70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5,10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26.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с даты принятия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объектов жилищного строительства - в течение 3 лет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кв. метров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иных объектов капитального строительства - в течение 5 лет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кв. метров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0E" w:rsidRDefault="0075020E" w:rsidP="0075020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75020E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"/>
        <w:gridCol w:w="630"/>
        <w:gridCol w:w="3532"/>
        <w:gridCol w:w="1512"/>
        <w:gridCol w:w="1062"/>
        <w:gridCol w:w="1061"/>
        <w:gridCol w:w="1061"/>
        <w:gridCol w:w="1061"/>
        <w:gridCol w:w="1062"/>
        <w:gridCol w:w="1061"/>
        <w:gridCol w:w="2514"/>
        <w:gridCol w:w="829"/>
      </w:tblGrid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3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51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06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Отчетная информация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51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27.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67,99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65,90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90,98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95,00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95,83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96,67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28.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водо</w:t>
            </w:r>
            <w:proofErr w:type="spell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-, тепл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о-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, </w:t>
            </w:r>
            <w:proofErr w:type="spell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газо</w:t>
            </w:r>
            <w:proofErr w:type="spell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осуществляющих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29,41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29.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5,15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6,46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6,72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7,17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7,54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7,92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30.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8,94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8,17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6,03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4,44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4,30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Организация муниципального управления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31.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60,46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60,62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51,67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42,56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59,40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63,25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32.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0,81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0,78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33.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тыс. 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9 579,89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95 189,23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34.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35.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рублей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2 083,61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2 308,43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2 460,50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2 600,52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2 633,60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2 675,70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0E" w:rsidRDefault="0075020E" w:rsidP="0075020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75020E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"/>
        <w:gridCol w:w="630"/>
        <w:gridCol w:w="3532"/>
        <w:gridCol w:w="1512"/>
        <w:gridCol w:w="1062"/>
        <w:gridCol w:w="1061"/>
        <w:gridCol w:w="1061"/>
        <w:gridCol w:w="1061"/>
        <w:gridCol w:w="1062"/>
        <w:gridCol w:w="1061"/>
        <w:gridCol w:w="2514"/>
        <w:gridCol w:w="829"/>
      </w:tblGrid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3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51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06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Отчетная информация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51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36.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да-1/нет-0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37.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процентов числа опрошенных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63,40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59,90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30,20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63,90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64,00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64,10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38.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Среднегодовая численность постоянного населения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тыс. человек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20,60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20,20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19,38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19,07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18,77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10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Энергосбережение и повышение энергетической эффективности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39.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электрическая энергия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кВт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ч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на 1 проживающего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1 222,90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1 279,89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1 269,60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1 260,00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1 255,00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1 250,00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Значения плановых показателей 2016-2018 г.г. приведены в соответствие со Стратегией социально-экономического развития МО "Каргасокский район" до 2025 года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тепловая энергия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Гкал на 1 кв. метр общей площади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0,22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горячая вода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куб. метров на 1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проживающего</w:t>
            </w:r>
            <w:proofErr w:type="gramEnd"/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Централизованная система горячего водоснабжения отсутствует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холодная вода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куб. метров на 1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проживающего</w:t>
            </w:r>
            <w:proofErr w:type="gramEnd"/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14,87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13,81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12,98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13,70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13,65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13,65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Значения плановых показателей 2016-2018 г.г. приведены в соответствие со Стратегией социально-экономического развития МО "Каргасокский район" до 2025 года. Рост показателей обусловлен планируемым развитием системы водоснабжения (</w:t>
            </w:r>
            <w:proofErr w:type="gram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. Средний </w:t>
            </w: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Васюган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природный газ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куб. метров на 1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проживающего</w:t>
            </w:r>
            <w:proofErr w:type="gramEnd"/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1 009,76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935,98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878,94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935,20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934,30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934,20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Значение показателя в 2015 году обусловлено погодными условиями, которые характеризовались аномально теплыми температурами наружного </w:t>
            </w: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воздуха</w:t>
            </w:r>
            <w:proofErr w:type="gram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.П</w:t>
            </w:r>
            <w:proofErr w:type="gram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рогнозные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 значения показателей в 2016-2018 г.г. обусловлено планируемым развитием газификации района. 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252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40.</w:t>
            </w: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7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электрическая энергия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кВт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gramStart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ч</w:t>
            </w:r>
            <w:proofErr w:type="gramEnd"/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 xml:space="preserve"> на 1 человека населения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103,53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64,34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100,01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99,00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99,00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99,00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Рост показателя в 2015 году и в плановый период 2016-2018 г.г. обусловлен следующими факторами: в связи с закрытием котельной в </w:t>
            </w:r>
            <w:proofErr w:type="gram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с</w:t>
            </w:r>
            <w:proofErr w:type="gram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. Средний </w:t>
            </w: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Васюган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, учреждения культуры были переведены на автономное теплоснабжение от электрических обогревателей, а также вводом в эксплуатацию в 2015 году нового здания </w:t>
            </w: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д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/сада №22 на 145 мест. Кроме того вводимые после реконструкции и капитального ремонта здания муниципальных учреждений оснащаются системами вентиляции и технологическим оборудованием.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тепловая энергия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Гкал на 1 кв. метр общей площади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0,30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0,24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0E" w:rsidRDefault="0075020E" w:rsidP="0075020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  <w:sectPr w:rsidR="0075020E">
          <w:pgSz w:w="16838" w:h="11906" w:orient="landscape"/>
          <w:pgMar w:top="567" w:right="567" w:bottom="567" w:left="567" w:header="0" w:footer="567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1"/>
        <w:gridCol w:w="630"/>
        <w:gridCol w:w="3532"/>
        <w:gridCol w:w="1512"/>
        <w:gridCol w:w="1062"/>
        <w:gridCol w:w="1061"/>
        <w:gridCol w:w="1061"/>
        <w:gridCol w:w="1061"/>
        <w:gridCol w:w="1062"/>
        <w:gridCol w:w="1061"/>
        <w:gridCol w:w="2514"/>
        <w:gridCol w:w="829"/>
      </w:tblGrid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3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51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06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Отчетная информация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Примечание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A1F6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51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горячая вода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куб. метров на 1 человека населения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Центролизованная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 система горячего водоснабжения отсутствует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0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холодная вода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куб. метров на 1 человека населения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1,01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0,58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0,53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Рост плановых показателей 2016-2018 г.г. обусловлен снижением численности населения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0E" w:rsidRPr="001A1F62" w:rsidTr="0063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1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473" w:right="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природный газ</w:t>
            </w:r>
          </w:p>
        </w:tc>
        <w:tc>
          <w:tcPr>
            <w:tcW w:w="1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4F2ED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A1F62">
              <w:rPr>
                <w:rFonts w:ascii="Arial" w:hAnsi="Arial" w:cs="Arial"/>
                <w:color w:val="333333"/>
                <w:sz w:val="14"/>
                <w:szCs w:val="14"/>
              </w:rPr>
              <w:t>куб. метров на 1 человека населения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14,11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10,64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11,72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11,70</w:t>
            </w:r>
          </w:p>
        </w:tc>
        <w:tc>
          <w:tcPr>
            <w:tcW w:w="10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11,70</w:t>
            </w:r>
          </w:p>
        </w:tc>
        <w:tc>
          <w:tcPr>
            <w:tcW w:w="10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11,70</w:t>
            </w:r>
          </w:p>
        </w:tc>
        <w:tc>
          <w:tcPr>
            <w:tcW w:w="2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Рост показателя в 2015 году обусловлен вводом в эксплуатацию после </w:t>
            </w: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кап</w:t>
            </w:r>
            <w:proofErr w:type="gram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.р</w:t>
            </w:r>
            <w:proofErr w:type="gram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емонта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 д.культуры "Геолог"  (конец 2014 года). В период проведения </w:t>
            </w:r>
            <w:proofErr w:type="spell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кап</w:t>
            </w:r>
            <w:proofErr w:type="gramStart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.р</w:t>
            </w:r>
            <w:proofErr w:type="gram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>емонта</w:t>
            </w:r>
            <w:proofErr w:type="spellEnd"/>
            <w:r w:rsidRPr="001A1F62">
              <w:rPr>
                <w:rFonts w:ascii="Arial" w:hAnsi="Arial" w:cs="Arial"/>
                <w:color w:val="000000"/>
                <w:sz w:val="12"/>
                <w:szCs w:val="12"/>
              </w:rPr>
              <w:t xml:space="preserve"> потребления газа учреждением не было. На рост плановых показателей 2016-2018 г.г. также влияет снижение численности населения</w:t>
            </w:r>
          </w:p>
        </w:tc>
        <w:tc>
          <w:tcPr>
            <w:tcW w:w="829" w:type="dxa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noWrap/>
          </w:tcPr>
          <w:p w:rsidR="0075020E" w:rsidRPr="001A1F62" w:rsidRDefault="0075020E" w:rsidP="00630E81">
            <w:pPr>
              <w:autoSpaceDE w:val="0"/>
              <w:autoSpaceDN w:val="0"/>
              <w:adjustRightInd w:val="0"/>
              <w:spacing w:after="0" w:line="240" w:lineRule="auto"/>
              <w:ind w:left="31" w:right="3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0E" w:rsidRDefault="0075020E" w:rsidP="0075020E"/>
    <w:p w:rsidR="00342592" w:rsidRPr="00E1528D" w:rsidRDefault="00342592" w:rsidP="003425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42592" w:rsidRPr="00E1528D" w:rsidSect="00351C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15704"/>
    </w:tblGrid>
    <w:tr w:rsidR="001A1F62" w:rsidRPr="001A1F62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221"/>
      </w:trPr>
      <w:tc>
        <w:tcPr>
          <w:tcW w:w="15704" w:type="dxa"/>
          <w:tcBorders>
            <w:top w:val="nil"/>
            <w:left w:val="nil"/>
            <w:bottom w:val="nil"/>
            <w:right w:val="nil"/>
          </w:tcBorders>
          <w:noWrap/>
        </w:tcPr>
        <w:p w:rsidR="001A1F62" w:rsidRPr="001A1F62" w:rsidRDefault="00351C66">
          <w:pPr>
            <w:autoSpaceDE w:val="0"/>
            <w:autoSpaceDN w:val="0"/>
            <w:spacing w:after="0" w:line="240" w:lineRule="auto"/>
            <w:jc w:val="center"/>
            <w:rPr>
              <w:rFonts w:ascii="Tahoma" w:hAnsi="Tahoma" w:cs="Arial"/>
              <w:color w:val="000000"/>
              <w:sz w:val="16"/>
              <w:szCs w:val="24"/>
            </w:rPr>
          </w:pPr>
          <w:r w:rsidRPr="001A1F62">
            <w:rPr>
              <w:rFonts w:ascii="Tahoma" w:hAnsi="Tahoma" w:cs="Arial"/>
              <w:color w:val="000000"/>
              <w:sz w:val="16"/>
              <w:szCs w:val="24"/>
            </w:rPr>
            <w:fldChar w:fldCharType="begin"/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instrText xml:space="preserve"> PAGE </w:instrText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fldChar w:fldCharType="separate"/>
          </w:r>
          <w:r>
            <w:rPr>
              <w:rFonts w:ascii="Tahoma" w:hAnsi="Tahoma" w:cs="Arial"/>
              <w:noProof/>
              <w:color w:val="000000"/>
              <w:sz w:val="16"/>
              <w:szCs w:val="24"/>
            </w:rPr>
            <w:t>12</w:t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fldChar w:fldCharType="end"/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t xml:space="preserve"> из </w:t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fldChar w:fldCharType="begin"/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instrText xml:space="preserve"> NUMPAGES </w:instrText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fldChar w:fldCharType="separate"/>
          </w:r>
          <w:r>
            <w:rPr>
              <w:rFonts w:ascii="Tahoma" w:hAnsi="Tahoma" w:cs="Arial"/>
              <w:noProof/>
              <w:color w:val="000000"/>
              <w:sz w:val="16"/>
              <w:szCs w:val="24"/>
            </w:rPr>
            <w:t>17</w:t>
          </w:r>
          <w:r w:rsidRPr="001A1F62">
            <w:rPr>
              <w:rFonts w:ascii="Tahoma" w:hAnsi="Tahoma" w:cs="Arial"/>
              <w:color w:val="000000"/>
              <w:sz w:val="16"/>
              <w:szCs w:val="24"/>
            </w:rP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6EA"/>
    <w:multiLevelType w:val="hybridMultilevel"/>
    <w:tmpl w:val="6CB845C6"/>
    <w:lvl w:ilvl="0" w:tplc="0156AF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365868"/>
    <w:multiLevelType w:val="hybridMultilevel"/>
    <w:tmpl w:val="92CAFBF4"/>
    <w:lvl w:ilvl="0" w:tplc="0419000F">
      <w:start w:val="7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F9D"/>
    <w:multiLevelType w:val="hybridMultilevel"/>
    <w:tmpl w:val="DFE867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B83623C"/>
    <w:multiLevelType w:val="hybridMultilevel"/>
    <w:tmpl w:val="C3AE7676"/>
    <w:lvl w:ilvl="0" w:tplc="C83C242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D0CC8"/>
    <w:multiLevelType w:val="hybridMultilevel"/>
    <w:tmpl w:val="0046F3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A23A3"/>
    <w:multiLevelType w:val="hybridMultilevel"/>
    <w:tmpl w:val="6F08ECA0"/>
    <w:lvl w:ilvl="0" w:tplc="681C9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91B55"/>
    <w:multiLevelType w:val="hybridMultilevel"/>
    <w:tmpl w:val="A212386C"/>
    <w:lvl w:ilvl="0" w:tplc="DD802CD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26671"/>
    <w:multiLevelType w:val="hybridMultilevel"/>
    <w:tmpl w:val="79007F80"/>
    <w:lvl w:ilvl="0" w:tplc="EE221F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4F4EE2"/>
    <w:multiLevelType w:val="hybridMultilevel"/>
    <w:tmpl w:val="0046F3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DC0"/>
    <w:rsid w:val="00023440"/>
    <w:rsid w:val="00024DEE"/>
    <w:rsid w:val="00065C38"/>
    <w:rsid w:val="0008607A"/>
    <w:rsid w:val="0009119C"/>
    <w:rsid w:val="00096406"/>
    <w:rsid w:val="000A3DC0"/>
    <w:rsid w:val="00102B36"/>
    <w:rsid w:val="001913E1"/>
    <w:rsid w:val="001A0C98"/>
    <w:rsid w:val="001A0EE2"/>
    <w:rsid w:val="001A6B81"/>
    <w:rsid w:val="001B3240"/>
    <w:rsid w:val="001D5E34"/>
    <w:rsid w:val="001F2132"/>
    <w:rsid w:val="002129C3"/>
    <w:rsid w:val="00225475"/>
    <w:rsid w:val="00231627"/>
    <w:rsid w:val="00242C45"/>
    <w:rsid w:val="00263CD7"/>
    <w:rsid w:val="0029075F"/>
    <w:rsid w:val="00292AA3"/>
    <w:rsid w:val="002F5289"/>
    <w:rsid w:val="00334D38"/>
    <w:rsid w:val="00342592"/>
    <w:rsid w:val="00351C66"/>
    <w:rsid w:val="00352EE7"/>
    <w:rsid w:val="003820EE"/>
    <w:rsid w:val="003C061C"/>
    <w:rsid w:val="003E6884"/>
    <w:rsid w:val="00415EFE"/>
    <w:rsid w:val="00424AAC"/>
    <w:rsid w:val="00437B5D"/>
    <w:rsid w:val="00461267"/>
    <w:rsid w:val="004846DE"/>
    <w:rsid w:val="00496554"/>
    <w:rsid w:val="004D41CF"/>
    <w:rsid w:val="005047BF"/>
    <w:rsid w:val="00520BF3"/>
    <w:rsid w:val="00530696"/>
    <w:rsid w:val="005339B0"/>
    <w:rsid w:val="00567EDD"/>
    <w:rsid w:val="0057122E"/>
    <w:rsid w:val="005723E4"/>
    <w:rsid w:val="00574005"/>
    <w:rsid w:val="005D2AA1"/>
    <w:rsid w:val="005E663B"/>
    <w:rsid w:val="006027B9"/>
    <w:rsid w:val="006A4FCD"/>
    <w:rsid w:val="006E2200"/>
    <w:rsid w:val="006F15B5"/>
    <w:rsid w:val="007064CC"/>
    <w:rsid w:val="00713E3F"/>
    <w:rsid w:val="00725DE3"/>
    <w:rsid w:val="0075020E"/>
    <w:rsid w:val="00783C06"/>
    <w:rsid w:val="007F268C"/>
    <w:rsid w:val="007F297C"/>
    <w:rsid w:val="007F65C1"/>
    <w:rsid w:val="0080343D"/>
    <w:rsid w:val="00825EDF"/>
    <w:rsid w:val="008327FE"/>
    <w:rsid w:val="008A3130"/>
    <w:rsid w:val="00921592"/>
    <w:rsid w:val="00982C29"/>
    <w:rsid w:val="009B1920"/>
    <w:rsid w:val="009B5277"/>
    <w:rsid w:val="009C2404"/>
    <w:rsid w:val="009C2D99"/>
    <w:rsid w:val="009E0155"/>
    <w:rsid w:val="009E4AB0"/>
    <w:rsid w:val="00A00253"/>
    <w:rsid w:val="00A23D1F"/>
    <w:rsid w:val="00A3190E"/>
    <w:rsid w:val="00A32AF6"/>
    <w:rsid w:val="00A63D78"/>
    <w:rsid w:val="00B330A9"/>
    <w:rsid w:val="00B33464"/>
    <w:rsid w:val="00B3560F"/>
    <w:rsid w:val="00B91B26"/>
    <w:rsid w:val="00BA5C48"/>
    <w:rsid w:val="00BC3023"/>
    <w:rsid w:val="00BC403F"/>
    <w:rsid w:val="00BE0DB8"/>
    <w:rsid w:val="00BE4752"/>
    <w:rsid w:val="00BF4797"/>
    <w:rsid w:val="00C00C47"/>
    <w:rsid w:val="00CA4FC1"/>
    <w:rsid w:val="00CB3DF8"/>
    <w:rsid w:val="00CC3402"/>
    <w:rsid w:val="00CE2B9F"/>
    <w:rsid w:val="00CE595D"/>
    <w:rsid w:val="00CF1FDD"/>
    <w:rsid w:val="00CF6E8E"/>
    <w:rsid w:val="00D472FC"/>
    <w:rsid w:val="00DA00E8"/>
    <w:rsid w:val="00DA2295"/>
    <w:rsid w:val="00DB5B50"/>
    <w:rsid w:val="00DC6A95"/>
    <w:rsid w:val="00DD197D"/>
    <w:rsid w:val="00DE115F"/>
    <w:rsid w:val="00DF2393"/>
    <w:rsid w:val="00DF30D1"/>
    <w:rsid w:val="00E016CF"/>
    <w:rsid w:val="00E06B0C"/>
    <w:rsid w:val="00E110B2"/>
    <w:rsid w:val="00E14DFC"/>
    <w:rsid w:val="00E1528D"/>
    <w:rsid w:val="00E55BC6"/>
    <w:rsid w:val="00E637F5"/>
    <w:rsid w:val="00E72396"/>
    <w:rsid w:val="00EC282D"/>
    <w:rsid w:val="00F039CE"/>
    <w:rsid w:val="00F364B0"/>
    <w:rsid w:val="00F511D1"/>
    <w:rsid w:val="00F85E3E"/>
    <w:rsid w:val="00FA0FEB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A3DC0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0A3DC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0A3DC0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0A3D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3DC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0A3DC0"/>
    <w:pPr>
      <w:spacing w:after="0" w:line="240" w:lineRule="auto"/>
    </w:pPr>
  </w:style>
  <w:style w:type="character" w:customStyle="1" w:styleId="FontStyle45">
    <w:name w:val="Font Style45"/>
    <w:basedOn w:val="a0"/>
    <w:uiPriority w:val="99"/>
    <w:rsid w:val="007F268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aliases w:val="Обычный (Web)1"/>
    <w:basedOn w:val="a"/>
    <w:rsid w:val="0026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C06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061C"/>
    <w:rPr>
      <w:sz w:val="16"/>
      <w:szCs w:val="16"/>
    </w:rPr>
  </w:style>
  <w:style w:type="character" w:customStyle="1" w:styleId="apple-converted-space">
    <w:name w:val="apple-converted-space"/>
    <w:basedOn w:val="a0"/>
    <w:rsid w:val="009B1920"/>
  </w:style>
  <w:style w:type="paragraph" w:styleId="a6">
    <w:name w:val="Body Text Indent"/>
    <w:basedOn w:val="a"/>
    <w:link w:val="a7"/>
    <w:uiPriority w:val="99"/>
    <w:semiHidden/>
    <w:unhideWhenUsed/>
    <w:rsid w:val="00982C29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82C2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33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17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88</cp:revision>
  <cp:lastPrinted>2016-04-28T05:38:00Z</cp:lastPrinted>
  <dcterms:created xsi:type="dcterms:W3CDTF">2016-04-18T09:57:00Z</dcterms:created>
  <dcterms:modified xsi:type="dcterms:W3CDTF">2016-04-28T08:17:00Z</dcterms:modified>
</cp:coreProperties>
</file>