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5" w:rsidRPr="00C54F19" w:rsidRDefault="00C54F19" w:rsidP="00C54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-215265</wp:posOffset>
            </wp:positionV>
            <wp:extent cx="668655" cy="805180"/>
            <wp:effectExtent l="19050" t="0" r="0" b="0"/>
            <wp:wrapSquare wrapText="right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340" w:rsidRPr="00C54F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begin"/>
      </w:r>
      <w:r w:rsidR="00AD3385" w:rsidRPr="00C54F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instrText xml:space="preserve"> INCLUDEPICTURE  "D:\\Мои документы\\Мои рисунки\\logo_kargasok.jpg" \* MERGEFORMATINET </w:instrText>
      </w:r>
      <w:r w:rsidR="005B5340" w:rsidRPr="00C54F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end"/>
      </w:r>
      <w:r w:rsidR="00AD3385" w:rsidRPr="00C54F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 w:type="textWrapping" w:clear="all"/>
      </w:r>
      <w:r w:rsidR="00AD3385" w:rsidRPr="00C54F1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МУНИЦИПАЛЬНОЕ ОБРАЗОВАНИЕ «</w:t>
      </w:r>
      <w:r w:rsidR="00AD3385" w:rsidRPr="00C54F19">
        <w:rPr>
          <w:rFonts w:ascii="Times New Roman" w:eastAsia="Times New Roman" w:hAnsi="Times New Roman" w:cs="Times New Roman"/>
          <w:caps/>
          <w:color w:val="000000" w:themeColor="text1"/>
          <w:sz w:val="28"/>
          <w:szCs w:val="24"/>
          <w:lang w:eastAsia="ru-RU"/>
        </w:rPr>
        <w:t>Каргасокский район»</w:t>
      </w:r>
    </w:p>
    <w:p w:rsidR="00AD3385" w:rsidRPr="00C54F19" w:rsidRDefault="00AD3385" w:rsidP="00C54F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C54F19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ТОМСКАЯ ОБЛАСТЬ</w:t>
      </w:r>
    </w:p>
    <w:p w:rsidR="00AD3385" w:rsidRPr="00C54F19" w:rsidRDefault="00AD3385" w:rsidP="00C54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D3385" w:rsidRPr="00C54F19" w:rsidRDefault="00AD3385" w:rsidP="00C54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C54F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АДМИНИСТРАЦИЯ КАРГАСОКСКОГО РАЙОНА</w:t>
      </w:r>
    </w:p>
    <w:p w:rsidR="00AD3385" w:rsidRPr="00C54F19" w:rsidRDefault="00AD3385" w:rsidP="00C54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91" w:type="dxa"/>
        <w:tblInd w:w="-318" w:type="dxa"/>
        <w:tblLook w:val="0000"/>
      </w:tblPr>
      <w:tblGrid>
        <w:gridCol w:w="142"/>
        <w:gridCol w:w="1800"/>
        <w:gridCol w:w="5579"/>
        <w:gridCol w:w="2970"/>
      </w:tblGrid>
      <w:tr w:rsidR="00AD3385" w:rsidRPr="00C54F19" w:rsidTr="00C54F19">
        <w:tc>
          <w:tcPr>
            <w:tcW w:w="10491" w:type="dxa"/>
            <w:gridSpan w:val="4"/>
          </w:tcPr>
          <w:p w:rsidR="00AD3385" w:rsidRPr="00C54F19" w:rsidRDefault="00AD3385" w:rsidP="00C54F1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4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  <w:p w:rsidR="00AD3385" w:rsidRPr="00C54F19" w:rsidRDefault="00AD3385" w:rsidP="00C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3385" w:rsidRPr="00C54F19" w:rsidTr="00C54F19">
        <w:trPr>
          <w:gridBefore w:val="1"/>
          <w:wBefore w:w="142" w:type="dxa"/>
        </w:trPr>
        <w:tc>
          <w:tcPr>
            <w:tcW w:w="1800" w:type="dxa"/>
          </w:tcPr>
          <w:p w:rsidR="00AD3385" w:rsidRPr="00C54F19" w:rsidRDefault="003F0CA1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033DF8"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</w:t>
            </w:r>
            <w:r w:rsidR="00AD3385"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.2015</w:t>
            </w:r>
          </w:p>
          <w:p w:rsidR="00AD3385" w:rsidRPr="00C54F19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79" w:type="dxa"/>
          </w:tcPr>
          <w:p w:rsidR="00AD3385" w:rsidRPr="00C54F19" w:rsidRDefault="00AD3385" w:rsidP="00C54F1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:rsidR="00AD3385" w:rsidRPr="00C54F19" w:rsidRDefault="00AD3385" w:rsidP="00090C5D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3F0CA1"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090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AD3385" w:rsidRPr="00C54F19" w:rsidTr="00C54F19">
        <w:trPr>
          <w:gridBefore w:val="1"/>
          <w:wBefore w:w="142" w:type="dxa"/>
        </w:trPr>
        <w:tc>
          <w:tcPr>
            <w:tcW w:w="7379" w:type="dxa"/>
            <w:gridSpan w:val="2"/>
          </w:tcPr>
          <w:p w:rsidR="00AD3385" w:rsidRPr="00C54F19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2970" w:type="dxa"/>
          </w:tcPr>
          <w:p w:rsidR="00AD3385" w:rsidRPr="00C54F19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D3385" w:rsidRPr="00C54F19" w:rsidRDefault="00AD3385" w:rsidP="00C54F1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000"/>
      </w:tblPr>
      <w:tblGrid>
        <w:gridCol w:w="5104"/>
        <w:gridCol w:w="4786"/>
      </w:tblGrid>
      <w:tr w:rsidR="00AD3385" w:rsidRPr="00C54F19" w:rsidTr="00C54F19">
        <w:trPr>
          <w:trHeight w:val="472"/>
        </w:trPr>
        <w:tc>
          <w:tcPr>
            <w:tcW w:w="5104" w:type="dxa"/>
            <w:vAlign w:val="center"/>
          </w:tcPr>
          <w:p w:rsidR="00AD3385" w:rsidRPr="00C54F19" w:rsidRDefault="00AD3385" w:rsidP="00C54F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порядка формирования</w:t>
            </w:r>
            <w:r w:rsidR="00C54F19"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задания </w:t>
            </w:r>
            <w:r w:rsidR="00CC7404"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порядка</w:t>
            </w:r>
            <w:r w:rsidR="00C54F19"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финансового обеспечения выполнения </w:t>
            </w:r>
            <w:r w:rsidR="00C54F19"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4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задания</w:t>
            </w:r>
          </w:p>
          <w:p w:rsidR="00AD3385" w:rsidRPr="00C54F19" w:rsidRDefault="00AD3385" w:rsidP="00C54F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D3385" w:rsidRPr="00C54F19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D3385" w:rsidRPr="00C54F19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D3385" w:rsidRPr="00C54F19" w:rsidRDefault="00AD3385" w:rsidP="00C54F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56C12" w:rsidRPr="00C54F19" w:rsidRDefault="000F0754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69.2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78.1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2) пункта 7 статьи 9.2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 января 1996 года N 7-ФЗ "О некоммерческих организациях" и </w:t>
      </w:r>
      <w:hyperlink r:id="rId11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4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ноября 2006 года N 174-ФЗ "Об автономных учреждениях" </w:t>
      </w:r>
      <w:proofErr w:type="gramEnd"/>
    </w:p>
    <w:p w:rsidR="00656C12" w:rsidRPr="00C54F19" w:rsidRDefault="00656C12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754" w:rsidRPr="00C54F19" w:rsidRDefault="00656C12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 Каргасокского района 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ет:</w:t>
      </w:r>
    </w:p>
    <w:p w:rsidR="000F0754" w:rsidRPr="00C54F19" w:rsidRDefault="000F0754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5"/>
      <w:bookmarkEnd w:id="0"/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52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921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отношении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</w:t>
      </w:r>
      <w:r w:rsidR="00FE4E1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«Каргасокский район» с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приложению </w:t>
      </w:r>
      <w:r w:rsidR="000D72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постановлению.</w:t>
      </w:r>
    </w:p>
    <w:p w:rsidR="000F0754" w:rsidRPr="00C54F19" w:rsidRDefault="000F0754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9"/>
      <w:bookmarkEnd w:id="1"/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701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обеспечения выполнения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</w:t>
      </w:r>
      <w:r w:rsidR="00744321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</w:t>
      </w:r>
      <w:r w:rsidR="00FE4E1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«Каргасокский район» 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0D72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постановлению.</w:t>
      </w:r>
    </w:p>
    <w:p w:rsidR="000F0754" w:rsidRPr="00C54F19" w:rsidRDefault="0069217C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3.  Органам местного самоуправления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 функции и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учредителя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или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автономных учреждений, главн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ым распорядителям средств район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ного бюджета, в ведении ко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торых находятся 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ные казенные учре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ждения, по согласо</w:t>
      </w:r>
      <w:r w:rsidR="00362D91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ванию с отделом экономики и социального развития Администрации Каргасокского района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0754" w:rsidRPr="00C54F19" w:rsidRDefault="0069217C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1) в срок до 20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2015 года разработать и утвердить порядок определения базовых нормативов затрат на оказание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порядок определения затрат на выполнение работ;</w:t>
      </w:r>
    </w:p>
    <w:p w:rsidR="000F0754" w:rsidRPr="00C54F19" w:rsidRDefault="0069217C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2) в срок до 20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2015 года утвердить значения базовых нормативов затрат на оказание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очередной финансовый год и плановый период.</w:t>
      </w:r>
    </w:p>
    <w:p w:rsidR="0069217C" w:rsidRPr="00C54F19" w:rsidRDefault="000F0754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6"/>
      <w:bookmarkEnd w:id="2"/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4. Признать утратившими силу следующие постановлени</w:t>
      </w:r>
      <w:r w:rsidR="006921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я Администрации Каргасокского района:</w:t>
      </w:r>
    </w:p>
    <w:p w:rsidR="000F0754" w:rsidRPr="00C54F19" w:rsidRDefault="0069217C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.06.2011 </w:t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№147 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и условиях формирования  и финансового обеспечения муниципального задания муниципальным учреждениям </w:t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«Каргасокский район»;</w:t>
      </w:r>
    </w:p>
    <w:p w:rsidR="00E17A32" w:rsidRPr="00C54F19" w:rsidRDefault="00E17A32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- от15.04.2013</w:t>
      </w:r>
      <w:r w:rsidR="003F0CA1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№100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Каргасокского района от 23.06.2011 г №147»;</w:t>
      </w:r>
    </w:p>
    <w:p w:rsidR="00E17A32" w:rsidRPr="00C54F19" w:rsidRDefault="00E17A32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- от 30.12.2014 №303 «О внесении изменений в постановление Администрации Каргасокского района от 23.06.2011 №147».</w:t>
      </w:r>
    </w:p>
    <w:p w:rsidR="000F0754" w:rsidRPr="00C54F19" w:rsidRDefault="000F0754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3"/>
      <w:bookmarkEnd w:id="3"/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w:anchor="P15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Пункты 1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6" w:history="1">
        <w:r w:rsidRPr="00C54F19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вступают в силу с 1 января 2016 года.</w:t>
      </w:r>
    </w:p>
    <w:bookmarkStart w:id="4" w:name="P34"/>
    <w:bookmarkEnd w:id="4"/>
    <w:p w:rsidR="000F0754" w:rsidRPr="00C54F19" w:rsidRDefault="005B5340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"P19" </w:instrTex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Пункт 2</w:t>
      </w: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применяется к правоотношениям, возникающим при определении объема финансового обеспечения выполнения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начиная с </w:t>
      </w:r>
      <w:r w:rsidR="00E20A7C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на 2016 год и на плановый период 2017 и 2018 годов.</w:t>
      </w:r>
    </w:p>
    <w:p w:rsidR="000F0754" w:rsidRPr="00C54F19" w:rsidRDefault="00362D91" w:rsidP="00C54F1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6. Опубликовать настоящее постановление в установленном порядке.</w:t>
      </w:r>
    </w:p>
    <w:p w:rsidR="00362D91" w:rsidRDefault="00362D91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F19" w:rsidRP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D91" w:rsidRPr="00C54F19" w:rsidRDefault="00362D91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754" w:rsidRPr="00C54F19" w:rsidRDefault="000F0754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754" w:rsidRP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И.о. </w:t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Главы Каргасокского района</w:t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E17A32" w:rsidRPr="00C54F19">
        <w:rPr>
          <w:rFonts w:ascii="Times New Roman" w:hAnsi="Times New Roman" w:cs="Times New Roman"/>
          <w:color w:val="000000" w:themeColor="text1"/>
          <w:sz w:val="28"/>
          <w:szCs w:val="28"/>
        </w:rPr>
        <w:t>Шамраев</w:t>
      </w:r>
      <w:proofErr w:type="spellEnd"/>
    </w:p>
    <w:p w:rsidR="000F0754" w:rsidRPr="00C54F19" w:rsidRDefault="000F0754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754" w:rsidRPr="00C54F19" w:rsidRDefault="000F0754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Default="00505D1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P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Default="00505D1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Pr="00C54F19" w:rsidRDefault="00C54F19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E17A3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54F19">
        <w:rPr>
          <w:rFonts w:ascii="Times New Roman" w:hAnsi="Times New Roman" w:cs="Times New Roman"/>
          <w:color w:val="000000" w:themeColor="text1"/>
          <w:sz w:val="20"/>
        </w:rPr>
        <w:t>Андрейчук Т.В.</w:t>
      </w:r>
    </w:p>
    <w:p w:rsidR="00E17A32" w:rsidRPr="00C54F19" w:rsidRDefault="00E17A32" w:rsidP="00C54F1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54F19">
        <w:rPr>
          <w:rFonts w:ascii="Times New Roman" w:hAnsi="Times New Roman" w:cs="Times New Roman"/>
          <w:color w:val="000000" w:themeColor="text1"/>
          <w:sz w:val="20"/>
        </w:rPr>
        <w:t>2-11-95</w:t>
      </w:r>
    </w:p>
    <w:p w:rsidR="003F0CA1" w:rsidRPr="00C54F19" w:rsidRDefault="003F0C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19" w:rsidRPr="000D7217" w:rsidRDefault="00C54F19" w:rsidP="000D7217">
      <w:pPr>
        <w:pStyle w:val="ConsPlusNormal"/>
        <w:ind w:left="6804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lastRenderedPageBreak/>
        <w:t>УТВЕРЖДЕН</w:t>
      </w:r>
    </w:p>
    <w:p w:rsidR="00C54F19" w:rsidRPr="000D7217" w:rsidRDefault="00C54F19" w:rsidP="000D7217">
      <w:pPr>
        <w:pStyle w:val="ConsPlusNormal"/>
        <w:ind w:left="6804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п</w:t>
      </w:r>
      <w:r w:rsidR="000F0754" w:rsidRPr="000D7217">
        <w:rPr>
          <w:rFonts w:ascii="Times New Roman" w:hAnsi="Times New Roman" w:cs="Times New Roman"/>
          <w:color w:val="000000" w:themeColor="text1"/>
          <w:sz w:val="20"/>
        </w:rPr>
        <w:t>остановлением</w:t>
      </w:r>
      <w:r w:rsidRPr="000D7217">
        <w:rPr>
          <w:rFonts w:ascii="Times New Roman" w:hAnsi="Times New Roman" w:cs="Times New Roman"/>
          <w:color w:val="000000" w:themeColor="text1"/>
          <w:sz w:val="20"/>
        </w:rPr>
        <w:t xml:space="preserve"> Администрации</w:t>
      </w:r>
    </w:p>
    <w:p w:rsidR="000F0754" w:rsidRPr="000D7217" w:rsidRDefault="00CC7404" w:rsidP="000D7217">
      <w:pPr>
        <w:pStyle w:val="ConsPlusNormal"/>
        <w:ind w:left="6804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Каргасокского района</w:t>
      </w:r>
    </w:p>
    <w:p w:rsidR="000F0754" w:rsidRPr="000D7217" w:rsidRDefault="00C54F19" w:rsidP="000D7217">
      <w:pPr>
        <w:pStyle w:val="ConsPlusNormal"/>
        <w:ind w:left="6804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о</w:t>
      </w:r>
      <w:r w:rsidR="00A635B9" w:rsidRPr="000D7217">
        <w:rPr>
          <w:rFonts w:ascii="Times New Roman" w:hAnsi="Times New Roman" w:cs="Times New Roman"/>
          <w:color w:val="000000" w:themeColor="text1"/>
          <w:sz w:val="20"/>
        </w:rPr>
        <w:t>т 10</w:t>
      </w:r>
      <w:r w:rsidR="000F0754" w:rsidRPr="000D7217">
        <w:rPr>
          <w:rFonts w:ascii="Times New Roman" w:hAnsi="Times New Roman" w:cs="Times New Roman"/>
          <w:color w:val="000000" w:themeColor="text1"/>
          <w:sz w:val="20"/>
        </w:rPr>
        <w:t>.</w:t>
      </w:r>
      <w:r w:rsidR="00A635B9" w:rsidRPr="000D7217">
        <w:rPr>
          <w:rFonts w:ascii="Times New Roman" w:hAnsi="Times New Roman" w:cs="Times New Roman"/>
          <w:color w:val="000000" w:themeColor="text1"/>
          <w:sz w:val="20"/>
        </w:rPr>
        <w:t>11</w:t>
      </w:r>
      <w:r w:rsidR="000F0754" w:rsidRPr="000D7217">
        <w:rPr>
          <w:rFonts w:ascii="Times New Roman" w:hAnsi="Times New Roman" w:cs="Times New Roman"/>
          <w:color w:val="000000" w:themeColor="text1"/>
          <w:sz w:val="20"/>
        </w:rPr>
        <w:t>.2015</w:t>
      </w:r>
      <w:r w:rsidR="000D7217" w:rsidRPr="000D7217">
        <w:rPr>
          <w:rFonts w:ascii="Times New Roman" w:hAnsi="Times New Roman" w:cs="Times New Roman"/>
          <w:color w:val="000000" w:themeColor="text1"/>
          <w:sz w:val="20"/>
        </w:rPr>
        <w:t xml:space="preserve"> №</w:t>
      </w:r>
      <w:r w:rsidR="000F0754" w:rsidRPr="000D7217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A635B9" w:rsidRPr="000D7217">
        <w:rPr>
          <w:rFonts w:ascii="Times New Roman" w:hAnsi="Times New Roman" w:cs="Times New Roman"/>
          <w:color w:val="000000" w:themeColor="text1"/>
          <w:sz w:val="20"/>
        </w:rPr>
        <w:t>17</w:t>
      </w:r>
      <w:r w:rsidR="00090C5D">
        <w:rPr>
          <w:rFonts w:ascii="Times New Roman" w:hAnsi="Times New Roman" w:cs="Times New Roman"/>
          <w:color w:val="000000" w:themeColor="text1"/>
          <w:sz w:val="20"/>
        </w:rPr>
        <w:t>8</w:t>
      </w:r>
    </w:p>
    <w:p w:rsidR="00FE4E12" w:rsidRPr="000D7217" w:rsidRDefault="00FE4E12" w:rsidP="000D7217">
      <w:pPr>
        <w:pStyle w:val="ConsPlusNormal"/>
        <w:ind w:left="6804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Приложение №1</w:t>
      </w:r>
    </w:p>
    <w:p w:rsidR="000D7217" w:rsidRDefault="000D721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5" w:name="P52"/>
      <w:bookmarkEnd w:id="5"/>
    </w:p>
    <w:p w:rsidR="000F0754" w:rsidRPr="000D7217" w:rsidRDefault="000F07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ПОРЯДОК</w:t>
      </w:r>
    </w:p>
    <w:p w:rsidR="000F0754" w:rsidRPr="000D7217" w:rsidRDefault="000F07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ФОРМИРОВАНИЯ </w:t>
      </w:r>
      <w:r w:rsidR="00E20A7C"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ЗАДАНИЯ В ОТНОШЕНИИ</w:t>
      </w:r>
    </w:p>
    <w:p w:rsidR="000F0754" w:rsidRPr="000D7217" w:rsidRDefault="006833F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МУНИЦИПАЛЬНЫХ</w:t>
      </w:r>
      <w:r w:rsidR="000F0754"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УЧРЕЖДЕНИЙ</w:t>
      </w:r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«КАРГАСОКСКИЙ РАЙОН»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56"/>
      <w:bookmarkEnd w:id="6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формирования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 отношении </w:t>
      </w:r>
      <w:r w:rsidR="006833F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учреждений</w:t>
      </w:r>
      <w:r w:rsidR="006833F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«Каргасокский район»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 регулирует правоотношения по формированию, изменению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на оказание </w:t>
      </w:r>
      <w:r w:rsidR="006833F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услуг (выполнение работ) (далее - </w:t>
      </w:r>
      <w:r w:rsidR="006833F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задание) в отношении </w:t>
      </w:r>
      <w:r w:rsidR="006833F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учреждений, </w:t>
      </w:r>
      <w:r w:rsidR="00D53B73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автономных учреждений, а также </w:t>
      </w:r>
      <w:r w:rsidR="006833F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казенных учреждений, определенных решением </w:t>
      </w:r>
      <w:r w:rsidR="00D53B73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Каргасокского района</w:t>
      </w:r>
      <w:r w:rsidR="00FE4E12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ее органа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осуществляющего бюджетные полномочия главного распорядителя средств </w:t>
      </w:r>
      <w:r w:rsidR="00D53B73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proofErr w:type="gramEnd"/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бюджета, в ведении которого они находятся.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формировании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 отношении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казенного учреждения ут</w:t>
      </w:r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верждается правовым актом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Каргасокского района</w:t>
      </w:r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ее органа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осуществляющего бюджетные полномочия главного распорядителя средств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бюджета, в ведении которого оно находится, и доводится до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казенного учреждения не позднее трех месяцев до начала очередного финансового года.</w:t>
      </w:r>
      <w:proofErr w:type="gramEnd"/>
    </w:p>
    <w:p w:rsidR="000F0754" w:rsidRPr="00C54F19" w:rsidRDefault="00FE4E12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2. 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задания формируются ежегодно при составлении проекта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ного бюджета на очередной финансовый год и плановый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</w:t>
      </w:r>
      <w:r w:rsidRPr="00C54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уполномоченными органа</w:t>
      </w:r>
      <w:r w:rsidR="00782F7E" w:rsidRPr="00C54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, к которым относятся: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proofErr w:type="spellStart"/>
      <w:r w:rsidR="003F0CA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ее органы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осуществляющие функции и полномочия учредителя в отношении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учреждений или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автономных учреждений, - при формировании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в отношении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учреждений или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автономных учреждений;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главные распорядители средств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бюджета, в ведении которых находятся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</w:t>
      </w:r>
      <w:r w:rsidR="0008124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казенные учреждения, - при формировании </w:t>
      </w:r>
      <w:r w:rsidR="0008124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заданий в отношении </w:t>
      </w:r>
      <w:r w:rsidR="00E52BA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казенных учреждений.</w:t>
      </w:r>
    </w:p>
    <w:p w:rsidR="000F0754" w:rsidRPr="00C54F19" w:rsidRDefault="00782F7E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3. 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</w:t>
      </w:r>
      <w:hyperlink w:anchor="P103" w:history="1">
        <w:r w:rsidR="000F0754"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задание</w:t>
        </w:r>
      </w:hyperlink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составляется по форме согласно приложению N 1 к настоящему Порядку на основе ведомственного перечня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услуг и работ, оказываемых и выполняемых </w:t>
      </w:r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учреждениями, утвержденного уполномоченным органом  в порядке, утвержденном постановлением Администрации </w:t>
      </w:r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 района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ведомственный перечень).</w:t>
      </w:r>
    </w:p>
    <w:p w:rsidR="000F0754" w:rsidRPr="00C54F19" w:rsidRDefault="00782F7E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задание формируется в отношении каждого </w:t>
      </w:r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учреждения, указанного в </w:t>
      </w:r>
      <w:hyperlink w:anchor="P56" w:history="1">
        <w:r w:rsidR="000F0754"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тоящего Порядка, на 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ные услуги и (или) работы, которые соответствующее учреждение оказывает (выполняет) в соответствии с ведомственным перечнем.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услуги (работы), категории потребителей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(работы), показатели, характеризующие качество и (или) объем (содержание) оказываемой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(выполняемой работы), устанавливаемые в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задании, должны соответствовать ведомственному перечню.</w:t>
      </w:r>
      <w:proofErr w:type="gramEnd"/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состоит из следующих частей: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требования к оказанию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 случае</w:t>
      </w:r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учреждение оказывает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услуги);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требования к выполнению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(в случае</w:t>
      </w:r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учреждение выполняет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работы);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и требования к отчетности.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 оказывает несколько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или выполняет несколько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соответствующая часть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формируется из нескольких разделов, каждый из которых должен содержать требования к оказанию одной </w:t>
      </w:r>
      <w:r w:rsidR="00233230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(выполнению одной работы).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задании предусматриваются возможные отклонения установленных показателей объема, в пределах которых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задание считается выполненным. Значения соответствующих отклонений утверждаются правовым актом уполномоченного органа после его согласования с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финансов АКР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задания утверждаются правовым актом уполномоченного органа  в срок не позднее одного месяца со дня официального опубликования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решения Думы Каргасокского района 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«Каргасокский район»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Уполномоченный орган в течение финансового года вносит изменения в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ное задание в случаях:</w:t>
      </w:r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72"/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изменения значений показателей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задания, характеризующих объем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(показателей, характеризующих выполнение работ), выявленной по итогам мониторинга исполнения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учреждением, проводимого в течение финансового года, либо на основании письменного мотивированного обращения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учреждения;</w:t>
      </w:r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внесения в ведомственный перечень изменений, касающихся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услуг (работ), оказываемых (выполняемых)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 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в соответствии с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3)внесения изменений в правовые акты Российской Федерации и (или) Томской области</w:t>
      </w:r>
      <w:r w:rsidR="003F0CA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муниципальные нормативно-правовые акты муниципального образования «Каргасокский район»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влекущих за собой необходимость изменения значений показателей, характеризующих качество и (или) объем оказываемых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ых услуг (выполняемых работ);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изменения размера бюджетных ассигнований, предусмотренных в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бюджете на финансовое обеспечение выполнения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влекущего за собой необходимость изменения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в случае, предусмотренном </w:t>
      </w:r>
      <w:hyperlink w:anchor="P90" w:history="1">
        <w:r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11</w:t>
        </w:r>
      </w:hyperlink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в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оформляются правов</w:t>
      </w:r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ым актом уполномоченного</w:t>
      </w:r>
      <w:r w:rsidR="003F0CA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основанию, указанному в </w:t>
      </w:r>
      <w:hyperlink w:anchor="P72" w:history="1">
        <w:r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1) пункта 6</w:t>
        </w:r>
      </w:hyperlink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изменения могут вноситься не более двух раз в год.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Изменения, вносимые в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задание, связанные с изменением значений показателей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характеризующих объем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услуг или работ, в обязательном порядке влекут за собой изменение объема финансового обеспечения выполнения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в пределах бюджетных ассигнований, предусмотренных в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районном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на соответствующие цели.</w:t>
      </w:r>
      <w:proofErr w:type="gramEnd"/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Новое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задание формируется </w:t>
      </w:r>
      <w:r w:rsidR="00782F7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органом  в случае досрочного прекращения действия ранее доведенного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proofErr w:type="gramStart"/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вследствие</w:t>
      </w:r>
      <w:proofErr w:type="gramEnd"/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изменения типа </w:t>
      </w:r>
      <w:r w:rsidR="00A12AE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реорганизации </w:t>
      </w:r>
      <w:r w:rsidR="00A12AE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 путем слияния, присоединения, выделения, разделения;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передачи функций и полномочий учредителя в отношении </w:t>
      </w:r>
      <w:r w:rsidR="00A12AE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иному </w:t>
      </w:r>
      <w:r w:rsidR="00715A1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уполномоченному органу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нового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осуществляется с учетом данных о выполнении показателей, установленных в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12AE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ых) задании (заданиях), прекратившем (прекративших) свое действие.</w:t>
      </w:r>
      <w:proofErr w:type="gramEnd"/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proofErr w:type="gramStart"/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(мониторинг выполнения) </w:t>
      </w:r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учреждениями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осуществляют уполн</w:t>
      </w:r>
      <w:r w:rsidR="00715A1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омоченные органы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ими порядке не реже двух раз в год.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Годовой </w:t>
      </w:r>
      <w:hyperlink w:anchor="P428" w:history="1">
        <w:r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</w:t>
        </w:r>
      </w:hyperlink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исполнении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формируется </w:t>
      </w:r>
      <w:r w:rsidR="00A12AE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учреждением по форме согласно приложению N 2 к настоящему Порядку и направляется в уполномоченный орган  в срок до 20 февраля года, следующего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отчетным.</w:t>
      </w:r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 ут</w:t>
      </w:r>
      <w:r w:rsidR="00715A1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верждается руководителем уполномоченного органа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годовых отчетов </w:t>
      </w:r>
      <w:r w:rsidR="00715A1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орган 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 и в срок до 5 марта года, следующего за отчетным, направляет в </w:t>
      </w:r>
      <w:r w:rsidR="00E12B1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 </w:t>
      </w:r>
      <w:r w:rsidR="00E12B1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АКР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подписанную руководителем сводную </w:t>
      </w:r>
      <w:hyperlink w:anchor="P641" w:history="1">
        <w:r w:rsidR="000F0754"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информацию</w:t>
        </w:r>
      </w:hyperlink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исполнении </w:t>
      </w:r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в разрезе </w:t>
      </w:r>
      <w:r w:rsidR="00E12B1D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ных услуг (работ) по форме согласно приложению N 3 к настоящему Порядку с приложением копий годовых отчетов.</w:t>
      </w:r>
      <w:proofErr w:type="gramEnd"/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Данные годового отчета используются уполномоченными органами  при проведении оценки потребности в предоставлении </w:t>
      </w:r>
      <w:r w:rsidR="0063752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услуг, оказываемых </w:t>
      </w:r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учреждениями, на очередной финансовый год и плановый период.</w:t>
      </w:r>
    </w:p>
    <w:p w:rsidR="000F0754" w:rsidRPr="00C54F19" w:rsidRDefault="000D7217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90"/>
      <w:bookmarkEnd w:id="8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установления фактов невыполнения </w:t>
      </w:r>
      <w:r w:rsidR="0063752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 учреждением или </w:t>
      </w:r>
      <w:r w:rsidR="0063752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автономным учреждением показателей, характеризующих объем </w:t>
      </w:r>
      <w:r w:rsidR="0063752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услуг или работ, предусмотренных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заданием, </w:t>
      </w:r>
      <w:r w:rsidR="0063752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</w:t>
      </w:r>
      <w:r w:rsidR="00715A1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1 мая года, следующего за отчетным, обязан либо уменьшить объем субсидии на текущий финансовый год пропорционально невыполненным значениям показателей, либо увеличить объем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на текущий финансовый год без увеличения объема субсидии.</w:t>
      </w:r>
      <w:proofErr w:type="gramEnd"/>
    </w:p>
    <w:p w:rsidR="000F0754" w:rsidRPr="00C54F19" w:rsidRDefault="000F0754" w:rsidP="000D7217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194" w:rsidRPr="00C54F19" w:rsidRDefault="000031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194" w:rsidRPr="00C54F19" w:rsidRDefault="000031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194" w:rsidRPr="00C54F19" w:rsidRDefault="000031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194" w:rsidRPr="00C54F19" w:rsidRDefault="000031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D12" w:rsidRPr="00C54F19" w:rsidRDefault="00505D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194" w:rsidRPr="00C54F19" w:rsidRDefault="000031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rPr>
          <w:color w:val="000000" w:themeColor="text1"/>
        </w:rPr>
        <w:sectPr w:rsidR="000F0754" w:rsidRPr="00C54F19" w:rsidSect="00C54F19">
          <w:pgSz w:w="11906" w:h="16838"/>
          <w:pgMar w:top="567" w:right="707" w:bottom="426" w:left="1276" w:header="708" w:footer="708" w:gutter="0"/>
          <w:cols w:space="708"/>
          <w:docGrid w:linePitch="360"/>
        </w:sectPr>
      </w:pPr>
    </w:p>
    <w:p w:rsidR="00505D12" w:rsidRPr="00C54F19" w:rsidRDefault="000D7217" w:rsidP="000D721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Приложение №</w:t>
      </w:r>
      <w:r w:rsidR="00505D12" w:rsidRPr="00C54F19">
        <w:rPr>
          <w:rFonts w:ascii="Times New Roman" w:hAnsi="Times New Roman" w:cs="Times New Roman"/>
          <w:color w:val="000000" w:themeColor="text1"/>
        </w:rPr>
        <w:t>1</w:t>
      </w:r>
    </w:p>
    <w:p w:rsidR="00505D12" w:rsidRPr="00C54F19" w:rsidRDefault="00505D12" w:rsidP="000D721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</w:rPr>
      </w:pPr>
      <w:r w:rsidRPr="00C54F19">
        <w:rPr>
          <w:rFonts w:ascii="Times New Roman" w:hAnsi="Times New Roman" w:cs="Times New Roman"/>
          <w:color w:val="000000" w:themeColor="text1"/>
        </w:rPr>
        <w:t>к Порядку</w:t>
      </w:r>
      <w:r w:rsidR="000D7217">
        <w:rPr>
          <w:rFonts w:ascii="Times New Roman" w:hAnsi="Times New Roman" w:cs="Times New Roman"/>
          <w:color w:val="000000" w:themeColor="text1"/>
        </w:rPr>
        <w:t xml:space="preserve"> </w:t>
      </w:r>
      <w:r w:rsidRPr="00C54F19">
        <w:rPr>
          <w:rFonts w:ascii="Times New Roman" w:hAnsi="Times New Roman" w:cs="Times New Roman"/>
          <w:color w:val="000000" w:themeColor="text1"/>
        </w:rPr>
        <w:t>формирования муниципального задания в отношении</w:t>
      </w:r>
    </w:p>
    <w:p w:rsidR="000F0754" w:rsidRPr="00C54F19" w:rsidRDefault="00505D12" w:rsidP="000D721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</w:rPr>
      </w:pPr>
      <w:r w:rsidRPr="00C54F19">
        <w:rPr>
          <w:rFonts w:ascii="Times New Roman" w:hAnsi="Times New Roman" w:cs="Times New Roman"/>
          <w:color w:val="000000" w:themeColor="text1"/>
        </w:rPr>
        <w:t>муниципальных учреждений</w:t>
      </w:r>
    </w:p>
    <w:p w:rsidR="000D7217" w:rsidRDefault="000D721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A22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03"/>
      <w:bookmarkEnd w:id="9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задание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 _____ год и на плановый период ________ и ___________ годов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(Наименование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учреждения)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1. ТРЕБОВАНИЯ К ОКАЗАНИЮ </w:t>
      </w:r>
      <w:r w:rsidR="0008124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НЫХ УСЛУГ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РАЗДЕЛ 1. Оказание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"_________________________"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(Указывается наименование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услуги)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Категории потребителей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 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Показатели,  характеризующие качество  и  (или)  объем  (содержание)</w:t>
      </w:r>
    </w:p>
    <w:p w:rsidR="000F0754" w:rsidRPr="00C54F19" w:rsidRDefault="00A22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2.1. Показатели,  характеризующие  объем  (содержание) 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йуслуги.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871"/>
        <w:gridCol w:w="1871"/>
        <w:gridCol w:w="1020"/>
        <w:gridCol w:w="794"/>
        <w:gridCol w:w="1247"/>
        <w:gridCol w:w="1247"/>
        <w:gridCol w:w="1134"/>
      </w:tblGrid>
      <w:tr w:rsidR="000F0754" w:rsidRPr="00C54F19">
        <w:tc>
          <w:tcPr>
            <w:tcW w:w="397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(наименования показателей)</w:t>
            </w:r>
          </w:p>
        </w:tc>
        <w:tc>
          <w:tcPr>
            <w:tcW w:w="1814" w:type="dxa"/>
            <w:gridSpan w:val="2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Показатель, характеризующий объем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3628" w:type="dxa"/>
            <w:gridSpan w:val="3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показателя, характеризующего объем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0F0754" w:rsidRPr="00C54F19">
        <w:tc>
          <w:tcPr>
            <w:tcW w:w="397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очередной финансовый год </w:t>
            </w:r>
            <w:hyperlink w:anchor="P402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4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Допустимое    отклонение    от   установленных   значений   показателя,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характеризующего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объем,  при  котором 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задание  считается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выполненным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(процентов) ________.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 Показатели, характеризующие качество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1871"/>
        <w:gridCol w:w="1077"/>
        <w:gridCol w:w="737"/>
        <w:gridCol w:w="1247"/>
        <w:gridCol w:w="1247"/>
        <w:gridCol w:w="1134"/>
      </w:tblGrid>
      <w:tr w:rsidR="000F0754" w:rsidRPr="00C54F19">
        <w:tc>
          <w:tcPr>
            <w:tcW w:w="454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(наименования показателей)</w:t>
            </w:r>
          </w:p>
        </w:tc>
        <w:tc>
          <w:tcPr>
            <w:tcW w:w="1814" w:type="dxa"/>
            <w:gridSpan w:val="2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Показатели, характеризующие качество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3628" w:type="dxa"/>
            <w:gridSpan w:val="3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показателей, характеризующих качество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0F0754" w:rsidRPr="00C54F19">
        <w:tc>
          <w:tcPr>
            <w:tcW w:w="454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73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единица 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4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очередной финансов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ый год </w:t>
            </w:r>
            <w:hyperlink w:anchor="P402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4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первый год 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планового периода</w:t>
            </w: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второй год 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планового периода</w:t>
            </w:r>
          </w:p>
        </w:tc>
      </w:tr>
      <w:tr w:rsidR="000F0754" w:rsidRPr="00C54F19">
        <w:tc>
          <w:tcPr>
            <w:tcW w:w="454" w:type="dxa"/>
            <w:vMerge w:val="restart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54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5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Порядок оказания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   Нормативные   правовые   акты,   регулирующие  порядок  оказания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  Порядок информирования потенциальных потребителей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685"/>
        <w:gridCol w:w="3628"/>
      </w:tblGrid>
      <w:tr w:rsidR="000F0754" w:rsidRPr="00C54F19">
        <w:tc>
          <w:tcPr>
            <w:tcW w:w="232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3685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0F0754" w:rsidRPr="00C54F19">
        <w:tc>
          <w:tcPr>
            <w:tcW w:w="232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232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Оплата 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(в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случаях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федеральным  законом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их оказание на платной основе):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4.1. 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Нормативный  правовой  акт,  устанавливающий  размер платы (цены,</w:t>
      </w:r>
      <w:proofErr w:type="gramEnd"/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тарифа) либо порядок их установления: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4.2. Орган, устанавливающий размер платы (цены, тарифа): 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4.3. Среднегодовой размер платы (цены, тарифа).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701"/>
        <w:gridCol w:w="1644"/>
        <w:gridCol w:w="1587"/>
      </w:tblGrid>
      <w:tr w:rsidR="000F0754" w:rsidRPr="00C54F19">
        <w:tc>
          <w:tcPr>
            <w:tcW w:w="4649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составляющей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услуги, в отношении которой установлена плата (цена, тариф)</w:t>
            </w:r>
          </w:p>
        </w:tc>
        <w:tc>
          <w:tcPr>
            <w:tcW w:w="4932" w:type="dxa"/>
            <w:gridSpan w:val="3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Среднегодовой размер платы (цены, тарифа), в руб.</w:t>
            </w:r>
          </w:p>
        </w:tc>
      </w:tr>
      <w:tr w:rsidR="000F0754" w:rsidRPr="00C54F19">
        <w:tc>
          <w:tcPr>
            <w:tcW w:w="4649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4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8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</w:tr>
      <w:tr w:rsidR="000F0754" w:rsidRPr="00C54F19">
        <w:tc>
          <w:tcPr>
            <w:tcW w:w="4649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649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649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2. ТРЕБОВАНИЯ К ВЫПОЛНЕНИЮ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РАЗДЕЛ 1. Выполнение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"_________________________"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(Указывается наименование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работы)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Категории потребителей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работы: 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2.  Показатели,  характеризующие  качество  и  (или) объем (содержание)</w:t>
      </w:r>
    </w:p>
    <w:p w:rsidR="000F0754" w:rsidRPr="00C54F19" w:rsidRDefault="00A22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2.1.  Показатели,  характеризующие  объем  (содержание)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работы.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871"/>
        <w:gridCol w:w="1871"/>
        <w:gridCol w:w="1304"/>
        <w:gridCol w:w="850"/>
        <w:gridCol w:w="907"/>
        <w:gridCol w:w="1191"/>
        <w:gridCol w:w="1191"/>
      </w:tblGrid>
      <w:tr w:rsidR="000F0754" w:rsidRPr="00C54F19">
        <w:tc>
          <w:tcPr>
            <w:tcW w:w="397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2154" w:type="dxa"/>
            <w:gridSpan w:val="2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Показатель, характеризующий объем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hyperlink w:anchor="P404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289" w:type="dxa"/>
            <w:gridSpan w:val="3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показателя, характеризующего объем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</w:tr>
      <w:tr w:rsidR="000F0754" w:rsidRPr="00C54F19">
        <w:tc>
          <w:tcPr>
            <w:tcW w:w="397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9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9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Допустимое    отклонение    от   установленных   значений   показателя,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характеризующего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</w:t>
      </w:r>
      <w:r w:rsidR="00962139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ъем,  при  котором  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ное  задание  считается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выполненным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(процентов) ___________.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 Показатели, характеризующие качество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</w:t>
      </w:r>
      <w:hyperlink w:anchor="P404" w:history="1">
        <w:r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&lt;2&gt;</w:t>
        </w:r>
      </w:hyperlink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871"/>
        <w:gridCol w:w="1871"/>
        <w:gridCol w:w="1304"/>
        <w:gridCol w:w="850"/>
        <w:gridCol w:w="907"/>
        <w:gridCol w:w="1191"/>
        <w:gridCol w:w="1191"/>
      </w:tblGrid>
      <w:tr w:rsidR="000F0754" w:rsidRPr="00C54F19">
        <w:tc>
          <w:tcPr>
            <w:tcW w:w="397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2154" w:type="dxa"/>
            <w:gridSpan w:val="2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Показатели, характеризующие качество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3289" w:type="dxa"/>
            <w:gridSpan w:val="3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показателей, характеризующих качество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</w:tr>
      <w:tr w:rsidR="000F0754" w:rsidRPr="00C54F19">
        <w:tc>
          <w:tcPr>
            <w:tcW w:w="397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9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9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 Оплата 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(в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случаях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федеральным  законом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ее оказание на платной основе):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3.1. 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Нормативный  правовой  акт,  устанавливающий  размер платы (цены,</w:t>
      </w:r>
      <w:proofErr w:type="gramEnd"/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тарифа) либо порядок их установления: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 Орган, устанавливающий размер платы (цены, тарифа): 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 Среднегодовой размер платы (цены, тарифа).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1587"/>
        <w:gridCol w:w="1531"/>
        <w:gridCol w:w="1531"/>
      </w:tblGrid>
      <w:tr w:rsidR="000F0754" w:rsidRPr="00C54F19">
        <w:tc>
          <w:tcPr>
            <w:tcW w:w="4932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составляющей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работы, в отношении которой установлена плата (цена, тариф)</w:t>
            </w:r>
          </w:p>
        </w:tc>
        <w:tc>
          <w:tcPr>
            <w:tcW w:w="4649" w:type="dxa"/>
            <w:gridSpan w:val="3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Среднегодовой размер платы (цены, тарифа), в руб.</w:t>
            </w:r>
          </w:p>
        </w:tc>
      </w:tr>
      <w:tr w:rsidR="000F0754" w:rsidRPr="00C54F19">
        <w:tc>
          <w:tcPr>
            <w:tcW w:w="4932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3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3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</w:tr>
      <w:tr w:rsidR="000F0754" w:rsidRPr="00C54F19">
        <w:tc>
          <w:tcPr>
            <w:tcW w:w="493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93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93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3.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НОГО ЗАДАНИЯ И ТРЕБОВАНИЯ К ОТЧЕТНОСТИ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Порядок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ного задания:</w:t>
      </w:r>
    </w:p>
    <w:p w:rsidR="00C5106C" w:rsidRPr="00C54F19" w:rsidRDefault="00962139" w:rsidP="00C5106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1.1. Правовой акт Администрации Каргасокского района или ее органа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F0754" w:rsidRPr="00C54F19" w:rsidRDefault="000F0754" w:rsidP="00C5106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осуществляющего   функции   и  полномочия  учредителя  (главного</w:t>
      </w:r>
      <w:proofErr w:type="gramEnd"/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распорядителя средств </w:t>
      </w:r>
      <w:r w:rsidR="00C5106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бюджета), определяющий порядок контроля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выполнением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1.2.  Формы  и  периодичность  осуществления 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 за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выполнением</w:t>
      </w:r>
    </w:p>
    <w:p w:rsidR="000F0754" w:rsidRPr="00C54F19" w:rsidRDefault="00A22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06"/>
      </w:tblGrid>
      <w:tr w:rsidR="000F0754" w:rsidRPr="00C54F19">
        <w:tc>
          <w:tcPr>
            <w:tcW w:w="4876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  <w:tc>
          <w:tcPr>
            <w:tcW w:w="4706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 w:rsidR="000F0754" w:rsidRPr="00C54F19">
        <w:tc>
          <w:tcPr>
            <w:tcW w:w="48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8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1.3. Условия и порядок досрочного прекращения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Требования к отчетности об исполнении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A22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2.1.   Сроки   представления  отчетов  об  исполнении 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задания: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A22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  Иные  требования  к  отчетности  об  исполнении 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задания: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_______________________________________________________________________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 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Иная   информация,   необходимая   для   исполнения  (контроля  за</w:t>
      </w:r>
      <w:proofErr w:type="gramEnd"/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исполнением)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задания.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--------------------------------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402"/>
      <w:bookmarkEnd w:id="10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 Значения на отчетный  финансовый  год могут быть детализированы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временному интервалу (месяц, квартал).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404"/>
      <w:bookmarkEnd w:id="11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&gt;  З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аполняется в случае,  если ведомственным перечнем </w:t>
      </w:r>
      <w:r w:rsidR="00C5106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 и  работ  предусмотрены  показатели  объема  и  (или)  качества  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соответствующей работы.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D7217" w:rsidP="000D7217">
      <w:pPr>
        <w:pStyle w:val="ConsPlusNormal"/>
        <w:ind w:left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 w:rsidR="000F0754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0F0754" w:rsidRPr="00C54F19" w:rsidRDefault="000F0754" w:rsidP="000D7217">
      <w:pPr>
        <w:pStyle w:val="ConsPlusNormal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формирования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 отношении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6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E92F3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УТВЕРЖДАЮ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E92F3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____________________________________</w:t>
      </w:r>
    </w:p>
    <w:p w:rsidR="00E92F35" w:rsidRPr="00C54F19" w:rsidRDefault="000F0754" w:rsidP="00E92F3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фамилия, имя, отчество</w:t>
      </w:r>
      <w:proofErr w:type="gramEnd"/>
    </w:p>
    <w:p w:rsidR="000F0754" w:rsidRPr="00C54F19" w:rsidRDefault="000F0754" w:rsidP="00E92F3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 - при наличии) и подпись</w:t>
      </w:r>
    </w:p>
    <w:p w:rsidR="000F0754" w:rsidRPr="00C54F19" w:rsidRDefault="000F0754" w:rsidP="00E92F3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руководителя уполномоченногооргана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0F0754" w:rsidRPr="00C54F19" w:rsidRDefault="000F0754" w:rsidP="00E92F3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E92F3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428"/>
      <w:bookmarkEnd w:id="12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исполнении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за ______ год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I. Исполнение </w:t>
      </w:r>
      <w:r w:rsidR="00C5106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 части оказания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ная услуга "___________________________________________"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(Указывается наименование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нойуслуги)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 Сведения о достижении показателей объема.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992"/>
        <w:gridCol w:w="851"/>
      </w:tblGrid>
      <w:tr w:rsidR="000F0754" w:rsidRPr="00C54F19" w:rsidTr="001D7134">
        <w:tc>
          <w:tcPr>
            <w:tcW w:w="397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(наименование показателя)</w:t>
            </w:r>
          </w:p>
        </w:tc>
        <w:tc>
          <w:tcPr>
            <w:tcW w:w="7088" w:type="dxa"/>
            <w:gridSpan w:val="7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Показатель, характеризующий объем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0F0754" w:rsidRPr="00C54F19" w:rsidTr="001D7134">
        <w:tc>
          <w:tcPr>
            <w:tcW w:w="397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F0754" w:rsidRPr="00C54F19" w:rsidRDefault="000F0754" w:rsidP="00464893">
            <w:pPr>
              <w:rPr>
                <w:color w:val="000000" w:themeColor="text1"/>
              </w:rPr>
            </w:pPr>
            <w:r w:rsidRPr="00C54F1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значение, утвержденное в </w:t>
            </w:r>
            <w:r w:rsidR="0046209E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850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в % (</w:t>
            </w:r>
            <w:hyperlink w:anchor="P455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7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w:anchor="P454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6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100)</w:t>
            </w:r>
          </w:p>
        </w:tc>
        <w:tc>
          <w:tcPr>
            <w:tcW w:w="992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допустимое отклонение </w:t>
            </w:r>
            <w:hyperlink w:anchor="P623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отклонений </w:t>
            </w:r>
            <w:hyperlink w:anchor="P625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454"/>
            <w:bookmarkEnd w:id="13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P455"/>
            <w:bookmarkEnd w:id="14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1.2. Сведения о достижении показателей качества.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851"/>
        <w:gridCol w:w="992"/>
      </w:tblGrid>
      <w:tr w:rsidR="000F0754" w:rsidRPr="00C54F19" w:rsidTr="001D7134">
        <w:tc>
          <w:tcPr>
            <w:tcW w:w="397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0F0754" w:rsidRPr="00C54F19" w:rsidRDefault="000F0754" w:rsidP="00A224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(наименование показателя)</w:t>
            </w:r>
          </w:p>
        </w:tc>
        <w:tc>
          <w:tcPr>
            <w:tcW w:w="7088" w:type="dxa"/>
            <w:gridSpan w:val="7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Показатели, характеризующие качество </w:t>
            </w:r>
            <w:r w:rsidR="00A224BA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0F0754" w:rsidRPr="00C54F19" w:rsidTr="001D7134">
        <w:tc>
          <w:tcPr>
            <w:tcW w:w="397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значение, утвержденное в </w:t>
            </w:r>
            <w:r w:rsidR="0046209E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850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в % (</w:t>
            </w:r>
            <w:hyperlink w:anchor="P500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7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w:anchor="P499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6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100)</w:t>
            </w:r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допустимое отклонение </w:t>
            </w:r>
            <w:hyperlink w:anchor="P623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отклонений </w:t>
            </w:r>
            <w:hyperlink w:anchor="P625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499"/>
            <w:bookmarkEnd w:id="15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500"/>
            <w:bookmarkEnd w:id="16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II.   Исполнение    </w:t>
      </w:r>
      <w:r w:rsidR="00A224BA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ного    задания   в   части    оказания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ных работ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ная работа "___________________________________________"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(Указывается наименование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работы)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 Сведения о достижении показателей объема.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851"/>
        <w:gridCol w:w="992"/>
      </w:tblGrid>
      <w:tr w:rsidR="000F0754" w:rsidRPr="00C54F19" w:rsidTr="001D7134">
        <w:tc>
          <w:tcPr>
            <w:tcW w:w="397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1275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7088" w:type="dxa"/>
            <w:gridSpan w:val="7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Показатель, характеризующий объем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</w:tr>
      <w:tr w:rsidR="000F0754" w:rsidRPr="00C54F19" w:rsidTr="001D7134">
        <w:tc>
          <w:tcPr>
            <w:tcW w:w="397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значение, утвержденное в </w:t>
            </w:r>
            <w:r w:rsidR="0046209E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850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в % (</w:t>
            </w:r>
            <w:hyperlink w:anchor="P552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7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w:anchor="P551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6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100)</w:t>
            </w:r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допустимое отклонение </w:t>
            </w:r>
            <w:hyperlink w:anchor="P623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отклонений </w:t>
            </w:r>
            <w:hyperlink w:anchor="P625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551"/>
            <w:bookmarkEnd w:id="17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P552"/>
            <w:bookmarkEnd w:id="18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1.2. Сведения о достижении показателей качества </w:t>
      </w:r>
      <w:hyperlink w:anchor="P627" w:history="1">
        <w:r w:rsidRPr="00C54F19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&lt;3&gt;</w:t>
        </w:r>
      </w:hyperlink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225"/>
        <w:gridCol w:w="1275"/>
        <w:gridCol w:w="1134"/>
        <w:gridCol w:w="1134"/>
        <w:gridCol w:w="1276"/>
        <w:gridCol w:w="851"/>
        <w:gridCol w:w="850"/>
        <w:gridCol w:w="851"/>
        <w:gridCol w:w="992"/>
      </w:tblGrid>
      <w:tr w:rsidR="000F0754" w:rsidRPr="00C54F19" w:rsidTr="001D7134">
        <w:tc>
          <w:tcPr>
            <w:tcW w:w="397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25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1275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оказания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(наименования показателей)</w:t>
            </w:r>
          </w:p>
        </w:tc>
        <w:tc>
          <w:tcPr>
            <w:tcW w:w="7088" w:type="dxa"/>
            <w:gridSpan w:val="7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Показатели, характеризующие качество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</w:tr>
      <w:tr w:rsidR="000F0754" w:rsidRPr="00C54F19" w:rsidTr="001D7134">
        <w:tc>
          <w:tcPr>
            <w:tcW w:w="397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значение, утвержденное в </w:t>
            </w:r>
            <w:r w:rsidR="0046209E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850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в % (</w:t>
            </w:r>
            <w:hyperlink w:anchor="P597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7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w:anchor="P596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6</w:t>
              </w:r>
            </w:hyperlink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100)</w:t>
            </w:r>
          </w:p>
        </w:tc>
        <w:tc>
          <w:tcPr>
            <w:tcW w:w="851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допустимое отклонение </w:t>
            </w:r>
            <w:hyperlink w:anchor="P623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отклонений </w:t>
            </w:r>
            <w:hyperlink w:anchor="P625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P596"/>
            <w:bookmarkEnd w:id="19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P597"/>
            <w:bookmarkEnd w:id="20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 w:rsidTr="001D7134">
        <w:tc>
          <w:tcPr>
            <w:tcW w:w="39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--------------------------------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623"/>
      <w:bookmarkEnd w:id="21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  Отклонение,   при   котором  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ное  задание  считается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выполненным (устанавливается в соответствующем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задании).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625"/>
      <w:bookmarkEnd w:id="22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&gt;  О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писываются  причины  отклонений, полученных сверх отклонений, при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ное задание считается выполненным (гр. 8 - гр. 9).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627"/>
      <w:bookmarkEnd w:id="23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&gt;  З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аполняется  при  наличии  в  </w:t>
      </w:r>
      <w:r w:rsidR="0046209E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задании показателей</w:t>
      </w:r>
    </w:p>
    <w:p w:rsidR="000F0754" w:rsidRPr="00C54F19" w:rsidRDefault="000F07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для работы.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217" w:rsidRDefault="000D721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217" w:rsidRDefault="000D721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217" w:rsidRDefault="000D721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0D7217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0F0754" w:rsidRPr="00C54F19" w:rsidRDefault="000F0754" w:rsidP="000D7217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формирования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ного задания в отношении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</w:p>
    <w:p w:rsidR="000F0754" w:rsidRPr="00C54F19" w:rsidRDefault="000F0754" w:rsidP="000D7217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0D7217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641"/>
      <w:bookmarkEnd w:id="24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Сводная информация об исполнении </w:t>
      </w:r>
      <w:proofErr w:type="gramStart"/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proofErr w:type="gramEnd"/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учреждениями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</w:t>
      </w: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разрезе </w:t>
      </w:r>
      <w:r w:rsidR="008C0D07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(работ) за ______ год</w:t>
      </w: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уполномоченного органа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1"/>
        <w:gridCol w:w="2041"/>
        <w:gridCol w:w="1077"/>
        <w:gridCol w:w="1134"/>
        <w:gridCol w:w="1474"/>
        <w:gridCol w:w="1531"/>
      </w:tblGrid>
      <w:tr w:rsidR="000F0754" w:rsidRPr="00C54F19">
        <w:tc>
          <w:tcPr>
            <w:tcW w:w="454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204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и единица измерения показателя, характеризующего объем </w:t>
            </w:r>
            <w:r w:rsidR="008C0D07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3685" w:type="dxa"/>
            <w:gridSpan w:val="3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показателя за отчетный год</w:t>
            </w:r>
          </w:p>
        </w:tc>
        <w:tc>
          <w:tcPr>
            <w:tcW w:w="1531" w:type="dxa"/>
            <w:vMerge w:val="restart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отклонений</w:t>
            </w:r>
          </w:p>
        </w:tc>
      </w:tr>
      <w:tr w:rsidR="000F0754" w:rsidRPr="00C54F19">
        <w:tc>
          <w:tcPr>
            <w:tcW w:w="454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  <w:hyperlink w:anchor="P687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  <w:hyperlink w:anchor="P688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7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%</w:t>
            </w:r>
          </w:p>
        </w:tc>
        <w:tc>
          <w:tcPr>
            <w:tcW w:w="1531" w:type="dxa"/>
            <w:vMerge/>
          </w:tcPr>
          <w:p w:rsidR="000F0754" w:rsidRPr="00C54F19" w:rsidRDefault="000F0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5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5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5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5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134" w:rsidRPr="00C54F19" w:rsidRDefault="001D71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134" w:rsidRPr="00C54F19" w:rsidRDefault="001D7134" w:rsidP="001D7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54F19">
        <w:rPr>
          <w:rFonts w:ascii="Times New Roman" w:hAnsi="Times New Roman" w:cs="Times New Roman"/>
          <w:color w:val="000000" w:themeColor="text1"/>
          <w:sz w:val="20"/>
        </w:rPr>
        <w:t>--------------------------------</w:t>
      </w:r>
    </w:p>
    <w:p w:rsidR="001D7134" w:rsidRPr="00C54F19" w:rsidRDefault="001D7134" w:rsidP="001D7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C54F19">
        <w:rPr>
          <w:rFonts w:ascii="Times New Roman" w:hAnsi="Times New Roman" w:cs="Times New Roman"/>
          <w:color w:val="000000" w:themeColor="text1"/>
          <w:sz w:val="20"/>
        </w:rPr>
        <w:t>&lt;1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0"/>
        </w:rPr>
        <w:t>&gt; О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0"/>
        </w:rPr>
        <w:t>пределяется как сумма значений показателей, утвержденных в муниципальных заданиях муниципальных учреждений, оказывавших (выполнявших) соответствующую муниципальную услугу (работу) в отчетном финансовом году.</w:t>
      </w:r>
    </w:p>
    <w:p w:rsidR="001D7134" w:rsidRPr="00C54F19" w:rsidRDefault="001D7134" w:rsidP="001D71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  <w:sectPr w:rsidR="001D7134" w:rsidRPr="00C54F19" w:rsidSect="00464893">
          <w:pgSz w:w="11905" w:h="16838"/>
          <w:pgMar w:top="567" w:right="567" w:bottom="567" w:left="1418" w:header="0" w:footer="0" w:gutter="0"/>
          <w:cols w:space="720"/>
          <w:docGrid w:linePitch="299"/>
        </w:sectPr>
      </w:pPr>
      <w:r w:rsidRPr="00C54F19">
        <w:rPr>
          <w:rFonts w:ascii="Times New Roman" w:hAnsi="Times New Roman" w:cs="Times New Roman"/>
          <w:color w:val="000000" w:themeColor="text1"/>
          <w:sz w:val="20"/>
        </w:rPr>
        <w:t>&lt;2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0"/>
        </w:rPr>
        <w:t>&gt; О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0"/>
        </w:rPr>
        <w:t>пределяется как сумма фактически исполненных муниципальными учреждениями значений показателей за отчетный финансовый год (согласно данным годовых отчетов об исполнении муниципальных  заданий)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217" w:rsidRPr="000D7217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УТВЕРЖДЕН</w:t>
      </w:r>
    </w:p>
    <w:p w:rsidR="000D7217" w:rsidRPr="000D7217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постановлением Администрации</w:t>
      </w:r>
    </w:p>
    <w:p w:rsidR="000D7217" w:rsidRPr="000D7217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Каргасокского района</w:t>
      </w:r>
    </w:p>
    <w:p w:rsidR="000D7217" w:rsidRPr="000D7217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от 10.11.2015 № 17</w:t>
      </w:r>
      <w:r w:rsidR="00090C5D">
        <w:rPr>
          <w:rFonts w:ascii="Times New Roman" w:hAnsi="Times New Roman" w:cs="Times New Roman"/>
          <w:color w:val="000000" w:themeColor="text1"/>
          <w:sz w:val="20"/>
        </w:rPr>
        <w:t>8</w:t>
      </w:r>
    </w:p>
    <w:p w:rsidR="000D7217" w:rsidRPr="000D7217" w:rsidRDefault="000D7217" w:rsidP="000D7217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0D7217">
        <w:rPr>
          <w:rFonts w:ascii="Times New Roman" w:hAnsi="Times New Roman" w:cs="Times New Roman"/>
          <w:color w:val="000000" w:themeColor="text1"/>
          <w:sz w:val="20"/>
        </w:rPr>
        <w:t>Приложение №</w:t>
      </w:r>
      <w:r>
        <w:rPr>
          <w:rFonts w:ascii="Times New Roman" w:hAnsi="Times New Roman" w:cs="Times New Roman"/>
          <w:color w:val="000000" w:themeColor="text1"/>
          <w:sz w:val="20"/>
        </w:rPr>
        <w:t>2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0D7217" w:rsidRDefault="000F07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5" w:name="P701"/>
      <w:bookmarkEnd w:id="25"/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ПОРЯДОК</w:t>
      </w:r>
    </w:p>
    <w:p w:rsidR="000F0754" w:rsidRPr="000D7217" w:rsidRDefault="000F07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ФИНАНСОВОГО ОБЕСПЕЧЕНИЯ ВЫПОЛНЕНИЯ </w:t>
      </w:r>
      <w:r w:rsidR="00E20A7C"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</w:t>
      </w:r>
      <w:r w:rsidR="001D7134"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ЗАДАНИЯ </w:t>
      </w:r>
      <w:r w:rsidR="00744321"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МУНИЦИПАЛЬНЫМИ</w:t>
      </w:r>
      <w:r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УЧРЕЖДЕНИЯМИ</w:t>
      </w:r>
      <w:r w:rsidR="001D7134" w:rsidRPr="000D72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«КАРГАСОКСКИЙ РАЙОН»</w:t>
      </w:r>
    </w:p>
    <w:p w:rsidR="000F0754" w:rsidRPr="000D7217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744321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 (далее - Порядок) устанавливает методику расчета объема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порядок предоставления субсидий на 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744321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бюджетными учреждениями и </w:t>
      </w:r>
      <w:r w:rsidR="00744321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автономными учреждениями.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Объем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рассчитывается на основании нормативных затрат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нормативных затрат, связанных с выполнением работ, затрат на уплату налогов, в качестве объекта налогообложения по которым признается имущество учреждения.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Объем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(R) определяется по формуле:</w:t>
      </w:r>
    </w:p>
    <w:p w:rsidR="000F0754" w:rsidRPr="000D7217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0D7217" w:rsidRDefault="005B53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340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025" style="width:239.45pt;height:23.45pt" coordsize="" o:spt="100" adj="0,,0" path="" filled="f" stroked="f">
            <v:stroke joinstyle="miter"/>
            <v:imagedata r:id="rId12" o:title="base_23643_92957_1"/>
            <v:formulas/>
            <v:path o:connecttype="segments"/>
          </v:shape>
        </w:pict>
      </w:r>
    </w:p>
    <w:p w:rsidR="000F0754" w:rsidRPr="000D7217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нормативные затраты на оказание i-й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</w:t>
      </w:r>
      <w:proofErr w:type="spell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i-й</w:t>
      </w:r>
      <w:proofErr w:type="spell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D2355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установленны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w</w:t>
      </w:r>
      <w:proofErr w:type="spell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затраты на выполнение w-й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размер платы (тариф и цена) за оказание i-й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соответствии с </w:t>
      </w:r>
      <w:hyperlink w:anchor="P753" w:history="1">
        <w:r w:rsidRPr="000D72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14</w:t>
        </w:r>
      </w:hyperlink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установленный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0D72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УН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Нормативные затраты (затраты) рассчитываются на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(работы), включенные в ведомственный перечень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 работ, оказываемых и выполняемых </w:t>
      </w:r>
      <w:r w:rsidR="00744321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 (далее - ведомственный перечень).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Нормативные затраты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рассчитываются на единицу показателя, характеризующего объем оказания услуги, установленного ведомственным перечнем, на основе базового норматива затрат и корректирующих коэффициентов к нему (далее - корректирующие коэффициенты), с соблюдением общих требований к определению нормативных затрат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применяемых при расчете объема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(выполнение работ)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учреждением всоответствующих</w:t>
      </w:r>
      <w:proofErr w:type="gram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сферах деятельности (далее - общие требования), утверждаемых федеральными органами исполнительной власти, осуществляющими функции по выработке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  <w:proofErr w:type="gramEnd"/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Нормативные затраты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рассчитанные с соблюдением общих требований, не могут приводить к превышению объема бюджетных ассигнований, предусмотренных </w:t>
      </w:r>
      <w:r w:rsidR="00BE414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Думы Каргасокского района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BE414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муниципального образования «Каргасокский район» 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плановый период на 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базового норматива затрат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устанавливается нормативным правовым актом исполнительного органа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власти </w:t>
      </w:r>
      <w:r w:rsidR="004D2AE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 района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осуществляющего функции и полномочия учредителя в отношении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автономных учреждений, главным распорядителем средств </w:t>
      </w:r>
      <w:r w:rsidR="004D2AE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бюджета, в ведении которого находятся </w:t>
      </w:r>
      <w:r w:rsidR="004D2AE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казенные учреждения, в случае принятия им решения о доведении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(далее - уполномоченный орган) по согласованию с </w:t>
      </w:r>
      <w:r w:rsidR="001D7134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отделом экономики</w:t>
      </w:r>
      <w:proofErr w:type="gramEnd"/>
      <w:r w:rsidR="001D7134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социального развития </w:t>
      </w:r>
      <w:r w:rsidR="007D7E8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Каргасокского района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требований настоящего Порядка.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Базовый норматив затрат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состоит из базовых нормативов: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затрат, непосредственно связанных с оказанием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затрат на общехозяйственные нужды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Базовый норматив затрат, непосредственно связанных с оказанием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определяется исходя </w:t>
      </w: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затрат на оплату труда с начислениями на выплаты по оплате труда работников, непосредственно связанных с оказанием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затрат на приобретение материальных запасов и движимого имущества (основных средств), потребляемого (используемого) в процессе оказания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 учетом срока полезного использования;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иных затрат, непосредственно связанных с оказанием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определяемых уполномоченным органом.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Базовый норматив затрат на общехозяйственные нужды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определяется исходя </w:t>
      </w: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1) затрат на коммунальные услуги;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2) затрат на содержание объектов недвижимого имущества (в том числе затрат на арендные платежи) и объектов особо ценного движимого имущества;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3) затрат на приобретение услуг связи и транспортных услуг;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затрат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5) затрат на прочие общехозяйственные нужды.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Значения нормативных затрат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значения базового норматива на очередной финансовый год и плановый период утверждаются уполномоченным органом по согласованию с </w:t>
      </w:r>
      <w:r w:rsidR="007D7E8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отделом экономики и социального развития Администрации Каргасокского района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базового норматива утверждается общей суммой с выделением: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сумм затрат на оплату труда с начислениями на выплаты по оплате труда работников, непосредственно связанных с оказанием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сумм затрат на оплату труда, в том числе начисления на выплаты по оплате труда работников, которые не принимают непосредственного участия в оказании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3) сумм затрат на коммунальные услуги.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Корректирующие коэффициенты, применяемые при расчете нормативных затрат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состоят из территориальногокорректирующего коэффициента и (или) отраслевого корректирующего коэффициента.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Территориальный корректирующий коэффициент отражает территориальные особенности оказания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территориального корректирующего коэффициента утверждается уполномоченным органом.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GoBack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Отраслевой корректирующий коэффициент</w:t>
      </w:r>
      <w:bookmarkEnd w:id="26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учитывает показатели отраслевой специфики, в том </w:t>
      </w: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proofErr w:type="gram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показателей качества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и 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определяется в соответствии с общими требованиями.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Отраслевой корректирующий коэффициент утверждается исполнительным органом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власти </w:t>
      </w:r>
      <w:r w:rsidR="001C3696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 района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осуществляющим функции по выработке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и нормативному правовому регулированию в сфере деятельности, к которой относится оказание соответствующих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(выполнение работ).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Затраты на выполнение работы определяются при расчете объема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 порядке, установленном уполномоченным органом и утверждаемом правовым актом уполномоченного органа после его согласования с </w:t>
      </w:r>
      <w:r w:rsidR="007D7E8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отделом экономики и социального развития Администрации Каргасокского района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В затраты на выполнение работы включаются, в том числе: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1) затраты на оплату труда с начислениями на выплаты по оплате труда работников;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2) затраты на иные расходы, связанные с выполнением работы.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 затрат на выполнение работы утверждается уполномоченным органом по согласованию с </w:t>
      </w:r>
      <w:r w:rsidR="007D7E8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отделом экономики и социального развития Администрации Каргасокского района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В случае если </w:t>
      </w:r>
      <w:r w:rsidR="0046209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 оказывает несколько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 (или) выполняет несколько работ либо также оказывает услуги (выполняет работы) на платной основе для физических и юридических лиц, распределение затрат на общехозяйственные нужды по отдельным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услугам (работам) осуществляется одним из следующих способов: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пропорционально фонду оплаты труда основного персонала, непосредственно участвующего в оказании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(выполнении работы);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пропорционально объему оказываемых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(выполняемых работ), в случае если государственные услуги (работы), оказываемые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учреждением, имеют одинаковую единицу измерения объема услуг (работ);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пропорционально площади, используемой для оказания каждой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или выполнения работы (при возможности распределения о</w:t>
      </w:r>
      <w:r w:rsidR="007D7E8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бщего объема площадей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между оказываемыми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и услугами (выполняемыми работами);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4) пропорционально иному основанию, установленному уполномоченным органом.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753"/>
      <w:bookmarkEnd w:id="27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46209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бюджетное или автономное учреждение осуществляет платную деятельность в рамках установленного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(работы), за оказание (выполнение) которой предусмотрено взимание платы, и</w:t>
      </w:r>
      <w:proofErr w:type="gram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значения размера платы (цены, тарифа), установленного в </w:t>
      </w:r>
      <w:r w:rsidR="0046209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задании уполномоченным органом.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754"/>
      <w:bookmarkEnd w:id="28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В объем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46209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бюджетное учреждение или </w:t>
      </w:r>
      <w:r w:rsidR="001C3696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автономное учреждение оказывает </w:t>
      </w:r>
      <w:r w:rsidR="001C3696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затраты, указанные в </w:t>
      </w:r>
      <w:hyperlink w:anchor="P754" w:history="1">
        <w:r w:rsidRPr="000D72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исходя из объемов субсидии, полученной из </w:t>
      </w:r>
      <w:r w:rsidR="001C3696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proofErr w:type="gramEnd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и доходов платной деятельности, исходя из указанных 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поступлений, полученных в отчетном финансовом году (далее - коэффициент платной деятельности).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осуществляется в пределах бюджетных ассигнований, предусмотренных в </w:t>
      </w:r>
      <w:r w:rsidR="001C3696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ном бюджете на соответствующие цели.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казенным учреждением осуществляется в соответствии с показателями бюджетной сметы учреждения.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 учреждением или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автономным учреждением осуществляется в виде субсидии из </w:t>
      </w:r>
      <w:r w:rsidR="00553F7F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ного бюджета.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Субсидия, предоставляемая из </w:t>
      </w:r>
      <w:r w:rsidR="00553F7F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бюджета </w:t>
      </w:r>
      <w:r w:rsidR="0046209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бюджетному учреждению или </w:t>
      </w:r>
      <w:r w:rsidR="0046209E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автономному учреждению на 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(далее - субсидия), перечисляется в установленном порядке на лицевой счет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учреждения или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автономного учреждения (далее - учреждения), открытый в </w:t>
      </w:r>
      <w:r w:rsidR="00553F7F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финансов АКР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заключаемого уполномоченным органом и учреждением в соответствии с примерной формой, утверждаемой </w:t>
      </w:r>
      <w:r w:rsidR="00553F7F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финансов АКР 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(далее - Соглашение).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заключается не позднее пяти рабочих дней после утверждения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и определяет порядок и условия предоставления субсидии, включая ее объем и периодичность перечисления в течение финансового года, права, обязанности и ответственность сторон Соглашения.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proofErr w:type="gramStart"/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объема субсидии в течение срока его выполнения осуществляется только при соответствующем изменении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за исключением случаев принятия правовых актов Российской Федерации и (или) Томской области</w:t>
      </w:r>
      <w:r w:rsidR="007D7E88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муниципальных нормативно-правовых актов муниципального образования «Каргасокский район»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влекущих необходимость изменения в течение финансового года объема нормативных затрат на оказание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 (или) объема затрат на выполнение </w:t>
      </w:r>
      <w:r w:rsidR="00E20A7C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работ.</w:t>
      </w:r>
      <w:proofErr w:type="gramEnd"/>
    </w:p>
    <w:p w:rsidR="000F0754" w:rsidRPr="000D7217" w:rsidRDefault="005B53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777" w:history="1">
        <w:r w:rsidR="000F0754" w:rsidRPr="000D72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Информация</w:t>
        </w:r>
      </w:hyperlink>
      <w:r w:rsidR="000F0754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изменениях объема субсидии представляется уполномоченными органами в </w:t>
      </w:r>
      <w:r w:rsidR="001C3696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финансов АКР</w:t>
      </w:r>
      <w:r w:rsidR="000F0754"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ежеквартально, в срок до 20-го числа месяца, следующего за отчетным периодом, по форме согласно приложению к настоящему Порядку.</w:t>
      </w:r>
    </w:p>
    <w:p w:rsidR="000F0754" w:rsidRPr="000D7217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21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Соответствующая информация представляется по каждому учреждению, которому был изменен объем субсидии в отчетном периоде.</w:t>
      </w:r>
    </w:p>
    <w:p w:rsidR="000F0754" w:rsidRPr="000D7217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667" w:rsidRPr="00C54F19" w:rsidRDefault="004A06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A0667" w:rsidRPr="00C54F19" w:rsidSect="001D7134">
          <w:pgSz w:w="11905" w:h="16838"/>
          <w:pgMar w:top="568" w:right="850" w:bottom="1134" w:left="1701" w:header="0" w:footer="0" w:gutter="0"/>
          <w:cols w:space="720"/>
        </w:sectPr>
      </w:pP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 w:rsidP="000D7217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0F0754" w:rsidRPr="00C54F19" w:rsidRDefault="000F0754" w:rsidP="000D7217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обеспечения выполнения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0D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</w:t>
      </w:r>
      <w:r w:rsidR="00744321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777"/>
      <w:bookmarkEnd w:id="29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изменениях объема субсидии на финансовоеобеспечение выполнения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</w:t>
      </w: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в _____ году по состоянию на отчетную дату(</w:t>
      </w:r>
      <w:r w:rsidR="00553F7F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апреля, 1 июля, 1 октября, 31 декабря)</w:t>
      </w: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:rsidR="000F0754" w:rsidRPr="00C54F19" w:rsidRDefault="000F07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учреждения)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04"/>
        <w:gridCol w:w="1474"/>
        <w:gridCol w:w="2268"/>
        <w:gridCol w:w="2268"/>
        <w:gridCol w:w="1814"/>
      </w:tblGrid>
      <w:tr w:rsidR="000F0754" w:rsidRPr="00C54F19">
        <w:tc>
          <w:tcPr>
            <w:tcW w:w="5500" w:type="dxa"/>
            <w:gridSpan w:val="4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субсидии на выполнение </w:t>
            </w:r>
            <w:r w:rsidR="00E20A7C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на текущий финансовый год (по состоянию на первое число отчетного периода) (тыс. руб.)</w:t>
            </w:r>
          </w:p>
        </w:tc>
        <w:tc>
          <w:tcPr>
            <w:tcW w:w="4082" w:type="dxa"/>
            <w:gridSpan w:val="2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акт об утверждении </w:t>
            </w:r>
            <w:r w:rsidR="00E20A7C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</w:t>
            </w:r>
          </w:p>
        </w:tc>
      </w:tr>
      <w:tr w:rsidR="000F0754" w:rsidRPr="00C54F19">
        <w:tc>
          <w:tcPr>
            <w:tcW w:w="5500" w:type="dxa"/>
            <w:gridSpan w:val="4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9582" w:type="dxa"/>
            <w:gridSpan w:val="6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Вносимые изменения </w:t>
            </w:r>
            <w:hyperlink w:anchor="P810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</w:tr>
      <w:tr w:rsidR="000F0754" w:rsidRPr="00C54F19">
        <w:tc>
          <w:tcPr>
            <w:tcW w:w="45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0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изменения объема субсидии</w:t>
            </w:r>
          </w:p>
        </w:tc>
        <w:tc>
          <w:tcPr>
            <w:tcW w:w="147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субсидии (тыс. руб.)</w:t>
            </w:r>
          </w:p>
        </w:tc>
        <w:tc>
          <w:tcPr>
            <w:tcW w:w="2268" w:type="dxa"/>
            <w:vAlign w:val="center"/>
          </w:tcPr>
          <w:p w:rsidR="000F0754" w:rsidRPr="00C54F19" w:rsidRDefault="000F0754" w:rsidP="00553F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акт о внесении изменений в </w:t>
            </w:r>
            <w:r w:rsidR="00553F7F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(дата, номер, наименование правового акта)</w:t>
            </w:r>
          </w:p>
        </w:tc>
        <w:tc>
          <w:tcPr>
            <w:tcW w:w="2268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содержание вносимых в </w:t>
            </w:r>
            <w:r w:rsidR="00553F7F"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изменений </w:t>
            </w:r>
            <w:hyperlink w:anchor="P811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14" w:type="dxa"/>
            <w:vAlign w:val="center"/>
          </w:tcPr>
          <w:p w:rsidR="000F0754" w:rsidRPr="00C54F19" w:rsidRDefault="000F0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Комментарий </w:t>
            </w:r>
            <w:hyperlink w:anchor="P812" w:history="1">
              <w:r w:rsidRPr="00C54F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</w:tr>
      <w:tr w:rsidR="000F0754" w:rsidRPr="00C54F19">
        <w:tc>
          <w:tcPr>
            <w:tcW w:w="45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54" w:rsidRPr="00C54F19">
        <w:tc>
          <w:tcPr>
            <w:tcW w:w="45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0F0754" w:rsidRPr="00C54F19" w:rsidRDefault="000F0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0F0754" w:rsidRPr="00C54F19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810"/>
      <w:bookmarkEnd w:id="30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&lt;1&gt; Изменения указываются нарастающим итогом с начала года.</w:t>
      </w:r>
    </w:p>
    <w:p w:rsidR="000F0754" w:rsidRPr="00C54F19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P811"/>
      <w:bookmarkEnd w:id="31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казывается наименование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(работ), у которых были изменены значения показателей объема и (или) качества (указывается прежнее и новое значение соответствующих показателей).</w:t>
      </w:r>
    </w:p>
    <w:p w:rsidR="000F0754" w:rsidRPr="00C54F19" w:rsidRDefault="000F07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P812"/>
      <w:bookmarkEnd w:id="32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&gt; З</w:t>
      </w:r>
      <w:proofErr w:type="gramEnd"/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аполняется в случае, если изменение объема субсидии не сопровождалось изменением </w:t>
      </w:r>
      <w:r w:rsidR="00E20A7C"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(указываются причины невнесения соответствующих изменений).</w:t>
      </w: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754" w:rsidRPr="00C54F19" w:rsidRDefault="000F07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A8E" w:rsidRPr="00C54F19" w:rsidRDefault="001F4A8E" w:rsidP="000F0754">
      <w:pPr>
        <w:tabs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4A8E" w:rsidRPr="00C54F19" w:rsidSect="000D7217">
      <w:pgSz w:w="11905" w:h="16838"/>
      <w:pgMar w:top="709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754"/>
    <w:rsid w:val="00003194"/>
    <w:rsid w:val="00016E6F"/>
    <w:rsid w:val="00033DF8"/>
    <w:rsid w:val="00081244"/>
    <w:rsid w:val="00090C5D"/>
    <w:rsid w:val="000D7217"/>
    <w:rsid w:val="000F0754"/>
    <w:rsid w:val="0010405E"/>
    <w:rsid w:val="001C3696"/>
    <w:rsid w:val="001D7134"/>
    <w:rsid w:val="001F4A8E"/>
    <w:rsid w:val="00233230"/>
    <w:rsid w:val="00347BFB"/>
    <w:rsid w:val="00362D91"/>
    <w:rsid w:val="00392AA8"/>
    <w:rsid w:val="003F0CA1"/>
    <w:rsid w:val="00453442"/>
    <w:rsid w:val="0046209E"/>
    <w:rsid w:val="00464893"/>
    <w:rsid w:val="004A0667"/>
    <w:rsid w:val="004A3603"/>
    <w:rsid w:val="004D2AEE"/>
    <w:rsid w:val="00505D12"/>
    <w:rsid w:val="00553F7F"/>
    <w:rsid w:val="005B5340"/>
    <w:rsid w:val="0063752E"/>
    <w:rsid w:val="00656C12"/>
    <w:rsid w:val="006833F0"/>
    <w:rsid w:val="0069217C"/>
    <w:rsid w:val="00715A1A"/>
    <w:rsid w:val="00744321"/>
    <w:rsid w:val="00782F7E"/>
    <w:rsid w:val="007D7E88"/>
    <w:rsid w:val="008C0D07"/>
    <w:rsid w:val="00903053"/>
    <w:rsid w:val="009515CF"/>
    <w:rsid w:val="00962139"/>
    <w:rsid w:val="00A12AED"/>
    <w:rsid w:val="00A21A78"/>
    <w:rsid w:val="00A224BA"/>
    <w:rsid w:val="00A635B9"/>
    <w:rsid w:val="00AD3385"/>
    <w:rsid w:val="00AF646E"/>
    <w:rsid w:val="00B769A3"/>
    <w:rsid w:val="00BE4148"/>
    <w:rsid w:val="00C5106C"/>
    <w:rsid w:val="00C54F19"/>
    <w:rsid w:val="00C961C2"/>
    <w:rsid w:val="00CB0D15"/>
    <w:rsid w:val="00CC7404"/>
    <w:rsid w:val="00CD2355"/>
    <w:rsid w:val="00D53B73"/>
    <w:rsid w:val="00DE203C"/>
    <w:rsid w:val="00E12B1D"/>
    <w:rsid w:val="00E17A32"/>
    <w:rsid w:val="00E20A7C"/>
    <w:rsid w:val="00E52BA7"/>
    <w:rsid w:val="00E92F35"/>
    <w:rsid w:val="00FE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0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0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0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95F937A024A4EDB1E222E4747DFE95A1999238C4463EF8607D99BC920CFECB5B8D8B2AD98PAV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A95F937A024A4EDB1E222E4747DFE95A1999238C4463EF8607D99BC920CFECB5B8D8B0AB99PAV1I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1" Type="http://schemas.openxmlformats.org/officeDocument/2006/relationships/hyperlink" Target="consultantplus://offline/ref=92A95F937A024A4EDB1E222E4747DFE95A169F21884063EF8607D99BC920CFECB5B8D8B2AE90A49FP1V6I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2A95F937A024A4EDB1E222E4747DFE95A199D2D8F4F63EF8607D99BC920CFECB5B8D8B1ADP9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A95F937A024A4EDB1E222E4747DFE95A1999238C4463EF8607D99BC920CFECB5B8D8B2AE93A09AP1V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632F-2D1A-4E81-9CC5-0389E0FF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3</cp:revision>
  <cp:lastPrinted>2015-11-12T05:08:00Z</cp:lastPrinted>
  <dcterms:created xsi:type="dcterms:W3CDTF">2015-11-12T05:09:00Z</dcterms:created>
  <dcterms:modified xsi:type="dcterms:W3CDTF">2015-11-12T07:41:00Z</dcterms:modified>
</cp:coreProperties>
</file>